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Professional Systems Engineer Services — Saudi Arabia Jeddah</w:t>
      </w:r>
    </w:p>
    <w:p>
      <w:pPr>
        <w:pStyle w:val="BodyText"/>
      </w:pPr>
      <w:r>
        <w:t xml:space="preserve">Document Ref: QE-SE-JED-2025-0047</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Prepared By:</w:t>
      </w:r>
      <w:r>
        <w:t xml:space="preserve"> </w:t>
      </w:r>
      <w:r>
        <w:t xml:space="preserve">GulfTech Solutions Ltd.</w:t>
      </w:r>
    </w:p>
    <w:p>
      <w:pPr>
        <w:pStyle w:val="BodyText"/>
      </w:pPr>
      <w:r>
        <w:rPr>
          <w:bCs/>
          <w:b/>
        </w:rPr>
        <w:t xml:space="preserve">Client:</w:t>
      </w:r>
      <w:r>
        <w:t xml:space="preserve"> </w:t>
      </w:r>
      <w:r>
        <w:t xml:space="preserve">[Client Name / Organization]</w:t>
      </w:r>
      <w:r>
        <w:br/>
      </w:r>
      <w:r>
        <w:rPr>
          <w:bCs/>
          <w:b/>
        </w:rPr>
        <w:t xml:space="preserve">Location:</w:t>
      </w:r>
      <w:r>
        <w:t xml:space="preserve"> </w:t>
      </w:r>
      <w:r>
        <w:t xml:space="preserve">Jeddah, Saudi Arabia</w:t>
      </w:r>
      <w:r>
        <w:br/>
      </w:r>
      <w:r>
        <w:rPr>
          <w:bCs/>
          <w:b/>
        </w:rPr>
        <w:t xml:space="preserve">Project Code:</w:t>
      </w:r>
      <w:r>
        <w:t xml:space="preserve"> </w:t>
      </w:r>
      <w:r>
        <w:t xml:space="preserve">SE-JED-2025</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GulfTech Solutions Ltd. to provide a comprehensive and transparent cost breakdown for the engagement of a qualified</w:t>
      </w:r>
      <w:r>
        <w:t xml:space="preserve"> </w:t>
      </w:r>
      <w:r>
        <w:t xml:space="preserve">Systems Engineer</w:t>
      </w:r>
      <w:r>
        <w:t xml:space="preserve"> </w:t>
      </w:r>
      <w:r>
        <w:t xml:space="preserve">to deliver critical infrastructure, integration, and operational support services within the city of</w:t>
      </w:r>
      <w:r>
        <w:t xml:space="preserve"> </w:t>
      </w:r>
      <w:r>
        <w:t xml:space="preserve">Saudi Arabia Jeddah</w:t>
      </w:r>
      <w:r>
        <w:t xml:space="preserve">. This document serves as a binding financial proposal and outlines the scope of work, deliverables, timelines, and associated costs for the proposed engagement. The</w:t>
      </w:r>
      <w:r>
        <w:t xml:space="preserve"> </w:t>
      </w:r>
      <w:r>
        <w:t xml:space="preserve">Quotation Estimate</w:t>
      </w:r>
      <w:r>
        <w:t xml:space="preserve"> </w:t>
      </w:r>
      <w:r>
        <w:t xml:space="preserve">has been prepared in full compliance with the regulatory and commercial standards applicable to professional services engagements in the Kingdom of Saudi Arabia, specifically within the Jeddah metropolitan area.</w:t>
      </w:r>
    </w:p>
    <w:bookmarkEnd w:id="21"/>
    <w:bookmarkStart w:id="22" w:name="scope-of-work-systems-engineer-role"/>
    <w:p>
      <w:pPr>
        <w:pStyle w:val="Heading2"/>
      </w:pPr>
      <w:r>
        <w:t xml:space="preserve">2. Scope of Work — Systems Engineer Role</w:t>
      </w:r>
    </w:p>
    <w:p>
      <w:pPr>
        <w:pStyle w:val="FirstParagraph"/>
      </w:pPr>
      <w:r>
        <w:t xml:space="preserve">The</w:t>
      </w:r>
      <w:r>
        <w:t xml:space="preserve"> </w:t>
      </w:r>
      <w:r>
        <w:t xml:space="preserve">Systems Engineer</w:t>
      </w:r>
      <w:r>
        <w:t xml:space="preserve"> </w:t>
      </w:r>
      <w:r>
        <w:t xml:space="preserve">engaged under this</w:t>
      </w:r>
      <w:r>
        <w:t xml:space="preserve"> </w:t>
      </w:r>
      <w:r>
        <w:t xml:space="preserve">Quotation Estimate</w:t>
      </w:r>
      <w:r>
        <w:t xml:space="preserve"> </w:t>
      </w:r>
      <w:r>
        <w:t xml:space="preserve">will be responsible for the following core duties and responsibilities, tailored to the operational requirements of the client's facilities in</w:t>
      </w:r>
      <w:r>
        <w:t xml:space="preserve"> </w:t>
      </w:r>
      <w:r>
        <w:t xml:space="preserve">Saudi Arabia Jeddah</w:t>
      </w:r>
      <w:r>
        <w:t xml:space="preserve">:</w:t>
      </w:r>
    </w:p>
    <w:p>
      <w:pPr>
        <w:numPr>
          <w:ilvl w:val="0"/>
          <w:numId w:val="1001"/>
        </w:numPr>
        <w:pStyle w:val="Compact"/>
      </w:pPr>
      <w:r>
        <w:t xml:space="preserve">Design, deployment, and maintenance of enterprise-level IT infrastructure including server farms, network architectures, and data center environments located in Jeddah.</w:t>
      </w:r>
    </w:p>
    <w:p>
      <w:pPr>
        <w:numPr>
          <w:ilvl w:val="0"/>
          <w:numId w:val="1001"/>
        </w:numPr>
        <w:pStyle w:val="Compact"/>
      </w:pPr>
      <w:r>
        <w:t xml:space="preserve">End-to-end systems integration, including middleware, API gateways, and legacy system migration projects aligned with the client's digital transformation roadmap.</w:t>
      </w:r>
    </w:p>
    <w:p>
      <w:pPr>
        <w:numPr>
          <w:ilvl w:val="0"/>
          <w:numId w:val="1001"/>
        </w:numPr>
        <w:pStyle w:val="Compact"/>
      </w:pPr>
      <w:r>
        <w:t xml:space="preserve">Proactive monitoring, troubleshooting, and resolution of hardware and software incidents across all operational sites in</w:t>
      </w:r>
      <w:r>
        <w:t xml:space="preserve"> </w:t>
      </w:r>
      <w:r>
        <w:t xml:space="preserve">Saudi Arabia Jeddah</w:t>
      </w:r>
      <w:r>
        <w:t xml:space="preserve">.</w:t>
      </w:r>
    </w:p>
    <w:p>
      <w:pPr>
        <w:numPr>
          <w:ilvl w:val="0"/>
          <w:numId w:val="1001"/>
        </w:numPr>
        <w:pStyle w:val="Compact"/>
      </w:pPr>
      <w:r>
        <w:t xml:space="preserve">Development and enforcement of IT security protocols, disaster recovery plans, and business continuity strategies in accordance with Saudi National Cybersecurity Authority (NCA) regulations.</w:t>
      </w:r>
    </w:p>
    <w:p>
      <w:pPr>
        <w:numPr>
          <w:ilvl w:val="0"/>
          <w:numId w:val="1001"/>
        </w:numPr>
        <w:pStyle w:val="Compact"/>
      </w:pPr>
      <w:r>
        <w:t xml:space="preserve">Capacity planning, performance optimization, and scalability assessments for all systems managed by the</w:t>
      </w:r>
      <w:r>
        <w:t xml:space="preserve"> </w:t>
      </w:r>
      <w:r>
        <w:t xml:space="preserve">Systems Engineer</w:t>
      </w:r>
      <w:r>
        <w:t xml:space="preserve">.</w:t>
      </w:r>
    </w:p>
    <w:p>
      <w:pPr>
        <w:numPr>
          <w:ilvl w:val="0"/>
          <w:numId w:val="1001"/>
        </w:numPr>
        <w:pStyle w:val="Compact"/>
      </w:pPr>
      <w:r>
        <w:t xml:space="preserve">Coordination with local vendors, government entities, and regulatory bodies within Jeddah to ensure full compliance with municipal and national IT standards.</w:t>
      </w:r>
    </w:p>
    <w:p>
      <w:pPr>
        <w:numPr>
          <w:ilvl w:val="0"/>
          <w:numId w:val="1001"/>
        </w:numPr>
        <w:pStyle w:val="Compact"/>
      </w:pPr>
      <w:r>
        <w:t xml:space="preserve">Preparation of monthly technical reports, incident logs, and strategic recommendations for senior management review.</w:t>
      </w:r>
    </w:p>
    <w:bookmarkEnd w:id="22"/>
    <w:bookmarkStart w:id="23" w:name="financial-breakdown-quotation-estimate"/>
    <w:p>
      <w:pPr>
        <w:pStyle w:val="Heading2"/>
      </w:pPr>
      <w:r>
        <w:t xml:space="preserve">3. Financial Breakdown — Quotation Estimate</w:t>
      </w:r>
    </w:p>
    <w:p>
      <w:pPr>
        <w:pStyle w:val="FirstParagraph"/>
      </w:pPr>
      <w:r>
        <w:t xml:space="preserve">The following table presents the itemized cost structure for this</w:t>
      </w:r>
      <w:r>
        <w:t xml:space="preserve"> </w:t>
      </w:r>
      <w:r>
        <w:t xml:space="preserve">Quotation Estimate</w:t>
      </w:r>
      <w:r>
        <w:t xml:space="preserve">. All figures are quoted in Saudi Riyals (SAR) and are inclusive of applicable Value Added Tax (VAT) at the prevailing rate of 15% as mandated by the Zakat, Tax and Customs Authority (ZATCA) in</w:t>
      </w:r>
      <w:r>
        <w:t xml:space="preserve"> </w:t>
      </w:r>
      <w:r>
        <w:t xml:space="preserve">Saudi Arabia Jeddah</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(SAR)</w:t>
            </w:r>
          </w:p>
        </w:tc>
        <w:tc>
          <w:tcPr/>
          <w:p>
            <w:pPr>
              <w:pStyle w:val="Compact"/>
              <w:jc w:val="left"/>
            </w:pPr>
            <w:r>
              <w:t xml:space="preserve">Quantity</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Senior Systems Engineer — Monthly Professional Fee (on-site, Jeddah)</w:t>
            </w:r>
          </w:p>
        </w:tc>
        <w:tc>
          <w:tcPr/>
          <w:p>
            <w:pPr>
              <w:pStyle w:val="Compact"/>
              <w:jc w:val="left"/>
            </w:pPr>
            <w:r>
              <w:t xml:space="preserve">12 months</w:t>
            </w:r>
          </w:p>
        </w:tc>
        <w:tc>
          <w:tcPr/>
          <w:p>
            <w:pPr>
              <w:pStyle w:val="Compact"/>
              <w:jc w:val="left"/>
            </w:pPr>
            <w:r>
              <w:t xml:space="preserve">28,500</w:t>
            </w:r>
          </w:p>
        </w:tc>
        <w:tc>
          <w:tcPr/>
          <w:p>
            <w:pPr>
              <w:pStyle w:val="Compact"/>
              <w:jc w:val="left"/>
            </w:pPr>
            <w:r>
              <w:t xml:space="preserve">12</w:t>
            </w:r>
          </w:p>
        </w:tc>
        <w:tc>
          <w:tcPr/>
          <w:p>
            <w:pPr>
              <w:pStyle w:val="Compact"/>
              <w:jc w:val="left"/>
            </w:pPr>
            <w:r>
              <w:t xml:space="preserve">342,000</w:t>
            </w:r>
          </w:p>
        </w:tc>
      </w:tr>
      <w:tr>
        <w:tc>
          <w:tcPr/>
          <w:p>
            <w:pPr>
              <w:pStyle w:val="Compact"/>
              <w:jc w:val="left"/>
            </w:pPr>
            <w:r>
              <w:t xml:space="preserve">02</w:t>
            </w:r>
          </w:p>
        </w:tc>
        <w:tc>
          <w:tcPr/>
          <w:p>
            <w:pPr>
              <w:pStyle w:val="Compact"/>
              <w:jc w:val="left"/>
            </w:pPr>
            <w:r>
              <w:t xml:space="preserve">Systems Engineer — Overtime &amp; Emergency Call-Out (estimated)</w:t>
            </w:r>
          </w:p>
        </w:tc>
        <w:tc>
          <w:tcPr/>
          <w:p>
            <w:pPr>
              <w:pStyle w:val="Compact"/>
              <w:jc w:val="left"/>
            </w:pPr>
            <w:r>
              <w:t xml:space="preserve">12 months</w:t>
            </w:r>
          </w:p>
        </w:tc>
        <w:tc>
          <w:tcPr/>
          <w:p>
            <w:pPr>
              <w:pStyle w:val="Compact"/>
              <w:jc w:val="left"/>
            </w:pPr>
            <w:r>
              <w:t xml:space="preserve">450</w:t>
            </w:r>
          </w:p>
        </w:tc>
        <w:tc>
          <w:tcPr/>
          <w:p>
            <w:pPr>
              <w:pStyle w:val="Compact"/>
              <w:jc w:val="left"/>
            </w:pPr>
            <w:r>
              <w:t xml:space="preserve">40 hrs</w:t>
            </w:r>
          </w:p>
        </w:tc>
        <w:tc>
          <w:tcPr/>
          <w:p>
            <w:pPr>
              <w:pStyle w:val="Compact"/>
              <w:jc w:val="left"/>
            </w:pPr>
            <w:r>
              <w:t xml:space="preserve">18,000</w:t>
            </w:r>
          </w:p>
        </w:tc>
      </w:tr>
      <w:tr>
        <w:tc>
          <w:tcPr/>
          <w:p>
            <w:pPr>
              <w:pStyle w:val="Compact"/>
              <w:jc w:val="left"/>
            </w:pPr>
            <w:r>
              <w:t xml:space="preserve">03</w:t>
            </w:r>
          </w:p>
        </w:tc>
        <w:tc>
          <w:tcPr/>
          <w:p>
            <w:pPr>
              <w:pStyle w:val="Compact"/>
              <w:jc w:val="left"/>
            </w:pPr>
            <w:r>
              <w:t xml:space="preserve">Infrastructure Audit &amp; Gap Analysis (one-time)</w:t>
            </w:r>
          </w:p>
        </w:tc>
        <w:tc>
          <w:tcPr/>
          <w:p>
            <w:pPr>
              <w:pStyle w:val="Compact"/>
              <w:jc w:val="left"/>
            </w:pPr>
            <w:r>
              <w:t xml:space="preserve">2 weeks</w:t>
            </w:r>
          </w:p>
        </w:tc>
        <w:tc>
          <w:tcPr/>
          <w:p>
            <w:pPr>
              <w:pStyle w:val="Compact"/>
              <w:jc w:val="left"/>
            </w:pPr>
            <w:r>
              <w:t xml:space="preserve">15,000</w:t>
            </w:r>
          </w:p>
        </w:tc>
        <w:tc>
          <w:tcPr/>
          <w:p>
            <w:pPr>
              <w:pStyle w:val="Compact"/>
              <w:jc w:val="left"/>
            </w:pPr>
            <w:r>
              <w:t xml:space="preserve">1</w:t>
            </w:r>
          </w:p>
        </w:tc>
        <w:tc>
          <w:tcPr/>
          <w:p>
            <w:pPr>
              <w:pStyle w:val="Compact"/>
              <w:jc w:val="left"/>
            </w:pPr>
            <w:r>
              <w:t xml:space="preserve">15,000</w:t>
            </w:r>
          </w:p>
        </w:tc>
      </w:tr>
      <w:tr>
        <w:tc>
          <w:tcPr/>
          <w:p>
            <w:pPr>
              <w:pStyle w:val="Compact"/>
              <w:jc w:val="left"/>
            </w:pPr>
            <w:r>
              <w:t xml:space="preserve">04</w:t>
            </w:r>
          </w:p>
        </w:tc>
        <w:tc>
          <w:tcPr/>
          <w:p>
            <w:pPr>
              <w:pStyle w:val="Compact"/>
              <w:jc w:val="left"/>
            </w:pPr>
            <w:r>
              <w:t xml:space="preserve">Systems Integration &amp; Migration Project (one-time)</w:t>
            </w:r>
          </w:p>
        </w:tc>
        <w:tc>
          <w:tcPr/>
          <w:p>
            <w:pPr>
              <w:pStyle w:val="Compact"/>
              <w:jc w:val="left"/>
            </w:pPr>
            <w:r>
              <w:t xml:space="preserve">6 weeks</w:t>
            </w:r>
          </w:p>
        </w:tc>
        <w:tc>
          <w:tcPr/>
          <w:p>
            <w:pPr>
              <w:pStyle w:val="Compact"/>
              <w:jc w:val="left"/>
            </w:pPr>
            <w:r>
              <w:t xml:space="preserve">45,000</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05</w:t>
            </w:r>
          </w:p>
        </w:tc>
        <w:tc>
          <w:tcPr/>
          <w:p>
            <w:pPr>
              <w:pStyle w:val="Compact"/>
              <w:jc w:val="left"/>
            </w:pPr>
            <w:r>
              <w:t xml:space="preserve">Security Compliance &amp; NCA Alignment (one-time)</w:t>
            </w:r>
          </w:p>
        </w:tc>
        <w:tc>
          <w:tcPr/>
          <w:p>
            <w:pPr>
              <w:pStyle w:val="Compact"/>
              <w:jc w:val="left"/>
            </w:pPr>
            <w:r>
              <w:t xml:space="preserve">3 weeks</w:t>
            </w:r>
          </w:p>
        </w:tc>
        <w:tc>
          <w:tcPr/>
          <w:p>
            <w:pPr>
              <w:pStyle w:val="Compact"/>
              <w:jc w:val="left"/>
            </w:pPr>
            <w:r>
              <w:t xml:space="preserve">22,000</w:t>
            </w:r>
          </w:p>
        </w:tc>
        <w:tc>
          <w:tcPr/>
          <w:p>
            <w:pPr>
              <w:pStyle w:val="Compact"/>
              <w:jc w:val="left"/>
            </w:pPr>
            <w:r>
              <w:t xml:space="preserve">1</w:t>
            </w:r>
          </w:p>
        </w:tc>
        <w:tc>
          <w:tcPr/>
          <w:p>
            <w:pPr>
              <w:pStyle w:val="Compact"/>
              <w:jc w:val="left"/>
            </w:pPr>
            <w:r>
              <w:t xml:space="preserve">22,000</w:t>
            </w:r>
          </w:p>
        </w:tc>
      </w:tr>
      <w:tr>
        <w:tc>
          <w:tcPr/>
          <w:p>
            <w:pPr>
              <w:pStyle w:val="Compact"/>
              <w:jc w:val="left"/>
            </w:pPr>
            <w:r>
              <w:t xml:space="preserve">06</w:t>
            </w:r>
          </w:p>
        </w:tc>
        <w:tc>
          <w:tcPr/>
          <w:p>
            <w:pPr>
              <w:pStyle w:val="Compact"/>
              <w:jc w:val="left"/>
            </w:pPr>
            <w:r>
              <w:t xml:space="preserve">Travel, Accommodation &amp; Local Logistics (Jeddah-based)</w:t>
            </w:r>
          </w:p>
        </w:tc>
        <w:tc>
          <w:tcPr/>
          <w:p>
            <w:pPr>
              <w:pStyle w:val="Compact"/>
              <w:jc w:val="left"/>
            </w:pPr>
            <w:r>
              <w:t xml:space="preserve">12 months</w:t>
            </w:r>
          </w:p>
        </w:tc>
        <w:tc>
          <w:tcPr/>
          <w:p>
            <w:pPr>
              <w:pStyle w:val="Compact"/>
              <w:jc w:val="left"/>
            </w:pPr>
            <w:r>
              <w:t xml:space="preserve">3,200</w:t>
            </w:r>
          </w:p>
        </w:tc>
        <w:tc>
          <w:tcPr/>
          <w:p>
            <w:pPr>
              <w:pStyle w:val="Compact"/>
              <w:jc w:val="left"/>
            </w:pPr>
            <w:r>
              <w:t xml:space="preserve">12</w:t>
            </w:r>
          </w:p>
        </w:tc>
        <w:tc>
          <w:tcPr/>
          <w:p>
            <w:pPr>
              <w:pStyle w:val="Compact"/>
              <w:jc w:val="left"/>
            </w:pPr>
            <w:r>
              <w:t xml:space="preserve">38,400</w:t>
            </w:r>
          </w:p>
        </w:tc>
      </w:tr>
      <w:tr>
        <w:tc>
          <w:tcPr/>
          <w:p>
            <w:pPr>
              <w:pStyle w:val="Compact"/>
              <w:jc w:val="left"/>
            </w:pPr>
            <w:r>
              <w:t xml:space="preserve">07</w:t>
            </w:r>
          </w:p>
        </w:tc>
        <w:tc>
          <w:tcPr/>
          <w:p>
            <w:pPr>
              <w:pStyle w:val="Compact"/>
              <w:jc w:val="left"/>
            </w:pPr>
            <w:r>
              <w:t xml:space="preserve">Technical Documentation &amp; Knowledge Transfer</w:t>
            </w:r>
          </w:p>
        </w:tc>
        <w:tc>
          <w:tcPr/>
          <w:p>
            <w:pPr>
              <w:pStyle w:val="Compact"/>
              <w:jc w:val="left"/>
            </w:pPr>
            <w:r>
              <w:t xml:space="preserve">12 months</w:t>
            </w:r>
          </w:p>
        </w:tc>
        <w:tc>
          <w:tcPr/>
          <w:p>
            <w:pPr>
              <w:pStyle w:val="Compact"/>
              <w:jc w:val="left"/>
            </w:pPr>
            <w:r>
              <w:t xml:space="preserve">8,000</w:t>
            </w:r>
          </w:p>
        </w:tc>
        <w:tc>
          <w:tcPr/>
          <w:p>
            <w:pPr>
              <w:pStyle w:val="Compact"/>
              <w:jc w:val="left"/>
            </w:pPr>
            <w:r>
              <w:t xml:space="preserve">1</w:t>
            </w:r>
          </w:p>
        </w:tc>
        <w:tc>
          <w:tcPr/>
          <w:p>
            <w:pPr>
              <w:pStyle w:val="Compact"/>
              <w:jc w:val="left"/>
            </w:pPr>
            <w:r>
              <w:t xml:space="preserve">8,000</w:t>
            </w:r>
          </w:p>
        </w:tc>
      </w:tr>
      <w:tr>
        <w:tc>
          <w:tcPr>
            <w:gridSpan w:val="5"/>
          </w:tcPr>
          <w:p>
            <w:pPr>
              <w:pStyle w:val="Compact"/>
              <w:jc w:val="left"/>
            </w:pPr>
            <w:r>
              <w:t xml:space="preserve">Subtotal (SAR)</w:t>
            </w:r>
          </w:p>
        </w:tc>
        <w:tc>
          <w:tcPr/>
          <w:p>
            <w:pPr>
              <w:pStyle w:val="Compact"/>
              <w:jc w:val="left"/>
            </w:pPr>
            <w:r>
              <w:t xml:space="preserve">488,400</w:t>
            </w:r>
          </w:p>
        </w:tc>
      </w:tr>
      <w:tr>
        <w:tc>
          <w:tcPr>
            <w:gridSpan w:val="5"/>
          </w:tcPr>
          <w:p>
            <w:pPr>
              <w:pStyle w:val="Compact"/>
              <w:jc w:val="left"/>
            </w:pPr>
            <w:r>
              <w:t xml:space="preserve">VAT @ 15% (SAR)</w:t>
            </w:r>
          </w:p>
        </w:tc>
        <w:tc>
          <w:tcPr/>
          <w:p>
            <w:pPr>
              <w:pStyle w:val="Compact"/>
              <w:jc w:val="left"/>
            </w:pPr>
            <w:r>
              <w:t xml:space="preserve">73,260</w:t>
            </w:r>
          </w:p>
        </w:tc>
      </w:tr>
      <w:tr>
        <w:tc>
          <w:tcPr>
            <w:gridSpan w:val="5"/>
          </w:tcPr>
          <w:p>
            <w:pPr>
              <w:pStyle w:val="Compact"/>
              <w:jc w:val="left"/>
            </w:pPr>
            <w:r>
              <w:rPr>
                <w:bCs/>
                <w:b/>
              </w:rPr>
              <w:t xml:space="preserve">Grand Total (SAR)</w:t>
            </w:r>
          </w:p>
        </w:tc>
        <w:tc>
          <w:tcPr/>
          <w:p>
            <w:pPr>
              <w:pStyle w:val="Compact"/>
              <w:jc w:val="left"/>
            </w:pPr>
            <w:r>
              <w:rPr>
                <w:bCs/>
                <w:b/>
              </w:rPr>
              <w:t xml:space="preserve">561,660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pricing may be subject to revision based on market conditions in</w:t>
      </w:r>
      <w:r>
        <w:t xml:space="preserve"> </w:t>
      </w:r>
      <w:r>
        <w:t xml:space="preserve">Saudi Arabia Jeddah</w:t>
      </w:r>
      <w:r>
        <w:t xml:space="preserve">.</w:t>
      </w:r>
    </w:p>
    <w:p>
      <w:pPr>
        <w:numPr>
          <w:ilvl w:val="0"/>
          <w:numId w:val="1002"/>
        </w:numPr>
        <w:pStyle w:val="Compact"/>
      </w:pPr>
      <w:r>
        <w:t xml:space="preserve">Payment terms: 30% advance upon contract signing, 40% upon mid-project milestone delivery, and 30% upon final acceptance and sign-off by the client's designated authority in Jeddah.</w:t>
      </w:r>
    </w:p>
    <w:p>
      <w:pPr>
        <w:numPr>
          <w:ilvl w:val="0"/>
          <w:numId w:val="1002"/>
        </w:numPr>
        <w:pStyle w:val="Compact"/>
      </w:pPr>
      <w:r>
        <w:t xml:space="preserve">The</w:t>
      </w:r>
      <w:r>
        <w:t xml:space="preserve"> </w:t>
      </w:r>
      <w:r>
        <w:t xml:space="preserve">Systems Engineer</w:t>
      </w:r>
      <w:r>
        <w:t xml:space="preserve"> </w:t>
      </w:r>
      <w:r>
        <w:t xml:space="preserve">shall adhere to all labor laws, work permit regulations, and professional licensing requirements as enforced by the Ministry of Human Resources and Social Development in the Kingdom of Saudi Arabia.</w:t>
      </w:r>
    </w:p>
    <w:p>
      <w:pPr>
        <w:numPr>
          <w:ilvl w:val="0"/>
          <w:numId w:val="1002"/>
        </w:numPr>
        <w:pStyle w:val="Compact"/>
      </w:pPr>
      <w:r>
        <w:t xml:space="preserve">Any scope changes or additional services beyond the defined deliverables in this</w:t>
      </w:r>
      <w:r>
        <w:t xml:space="preserve"> </w:t>
      </w:r>
      <w:r>
        <w:t xml:space="preserve">Quotation Estimate</w:t>
      </w:r>
      <w:r>
        <w:t xml:space="preserve"> </w:t>
      </w:r>
      <w:r>
        <w:t xml:space="preserve">will be subject to a separate change-order and revised cost assessment.</w:t>
      </w:r>
    </w:p>
    <w:p>
      <w:pPr>
        <w:numPr>
          <w:ilvl w:val="0"/>
          <w:numId w:val="1002"/>
        </w:numPr>
        <w:pStyle w:val="Compact"/>
      </w:pPr>
      <w:r>
        <w:t xml:space="preserve">Confidentiality: All proprietary data, system architectures, and operational details encountered during the engagement in</w:t>
      </w:r>
      <w:r>
        <w:t xml:space="preserve"> </w:t>
      </w:r>
      <w:r>
        <w:t xml:space="preserve">Saudi Arabia Jeddah</w:t>
      </w:r>
      <w:r>
        <w:t xml:space="preserve"> </w:t>
      </w:r>
      <w:r>
        <w:t xml:space="preserve">shall remain strictly confidential and are governed by a separate Non-Disclosure Agreement (NDA).</w:t>
      </w:r>
    </w:p>
    <w:p>
      <w:pPr>
        <w:numPr>
          <w:ilvl w:val="0"/>
          <w:numId w:val="1002"/>
        </w:numPr>
        <w:pStyle w:val="Compact"/>
      </w:pPr>
      <w:r>
        <w:t xml:space="preserve">Dispute resolution shall be handled in accordance with the laws of the Kingdom of Saudi Arabia, with jurisdiction vested in the competent courts of Jeddah.</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acceptance of the proposed terms, scope, and financial figures for the engagement of the</w:t>
      </w:r>
      <w:r>
        <w:t xml:space="preserve"> </w:t>
      </w:r>
      <w:r>
        <w:t xml:space="preserve">Systems Engineer</w:t>
      </w:r>
      <w:r>
        <w:t xml:space="preserve"> </w:t>
      </w:r>
      <w:r>
        <w:t xml:space="preserve">in</w:t>
      </w:r>
      <w:r>
        <w:t xml:space="preserve"> </w:t>
      </w:r>
      <w:r>
        <w:t xml:space="preserve">Saudi Arabia Jeddah</w:t>
      </w:r>
      <w:r>
        <w:t xml:space="preserve">. This signature constitutes formal authorization to proceed with the project as outlined herein.</w:t>
      </w:r>
    </w:p>
    <w:bookmarkEnd w:id="25"/>
    <w:p>
      <w:pPr>
        <w:pStyle w:val="BodyText"/>
      </w:pPr>
      <w:r>
        <w:rPr>
          <w:bCs/>
          <w:b/>
        </w:rPr>
        <w:t xml:space="preserve">For GulfTech Solutions Ltd.</w:t>
      </w:r>
      <w:r>
        <w:br/>
      </w:r>
      <w:r>
        <w:t xml:space="preserve">Authorized Signatory</w:t>
      </w:r>
      <w:r>
        <w:br/>
      </w:r>
      <w:r>
        <w:t xml:space="preserve">Date: _______________</w:t>
      </w:r>
    </w:p>
    <w:p>
      <w:pPr>
        <w:pStyle w:val="BodyText"/>
      </w:pPr>
      <w:r>
        <w:rPr>
          <w:bCs/>
          <w:b/>
        </w:rPr>
        <w:t xml:space="preserve">For the Client</w:t>
      </w:r>
      <w:r>
        <w:br/>
      </w:r>
      <w:r>
        <w:t xml:space="preserve">Authorized Representative</w:t>
      </w:r>
      <w:r>
        <w:br/>
      </w:r>
      <w:r>
        <w:t xml:space="preserve">Date: _______________</w:t>
      </w:r>
    </w:p>
    <w:p>
      <w:pPr>
        <w:pStyle w:val="BodyText"/>
      </w:pPr>
      <w:r>
        <w:rPr>
          <w:bCs/>
          <w:b/>
        </w:rPr>
        <w:t xml:space="preserve">Note:</w:t>
      </w:r>
      <w:r>
        <w:t xml:space="preserve"> </w:t>
      </w:r>
      <w:r>
        <w:t xml:space="preserve">This Quotation Estimate is a non-negotiable document unless amendments are made in writing and countersigned by both parties. All references to Saudi Arabia Jeddah pertain to the primary operational site. The Systems Engineer's qualifications, certifications, and professional standing have been verified in accordance with Saudi Arabian professional standards. For inquiries or clarifications regarding this Quotation Estimate, please contact the project management office at GulfTech Solutions Ltd., Jeddah,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Saudi Arabia Jeddah</dc:title>
  <dc:creator/>
  <dc:language>en</dc:language>
  <cp:keywords/>
  <dcterms:created xsi:type="dcterms:W3CDTF">2026-10-10T05:45:16Z</dcterms:created>
  <dcterms:modified xsi:type="dcterms:W3CDTF">2026-10-10T05:45:16Z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