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quotation-estimate"/>
    <w:p>
      <w:pPr>
        <w:pStyle w:val="Heading1"/>
      </w:pPr>
      <w:r>
        <w:t xml:space="preserve">QUOTATION ESTIMATE</w:t>
      </w:r>
    </w:p>
    <w:p>
      <w:pPr>
        <w:pStyle w:val="FirstParagraph"/>
      </w:pPr>
      <w:r>
        <w:t xml:space="preserve">Professional Systems Engineer Services | United Arab Emirates Dubai</w:t>
      </w:r>
    </w:p>
    <w:p>
      <w:pPr>
        <w:pStyle w:val="BodyText"/>
      </w:pPr>
      <w:r>
        <w:t xml:space="preserve">Document Reference: QE-SE-DXB-2025-0847</w:t>
      </w:r>
    </w:p>
    <w:bookmarkEnd w:id="20"/>
    <w:p>
      <w:pPr>
        <w:pStyle w:val="BodyText"/>
      </w:pPr>
      <w:r>
        <w:rPr>
          <w:bCs/>
          <w:b/>
        </w:rPr>
        <w:t xml:space="preserve">Prepared By:</w:t>
      </w:r>
      <w:r>
        <w:br/>
      </w:r>
      <w:r>
        <w:t xml:space="preserve">TechNova Solutions FZ-LLC</w:t>
      </w:r>
      <w:r>
        <w:br/>
      </w:r>
      <w:r>
        <w:t xml:space="preserve">Office 1204, Level 12, Burj Khalifa</w:t>
      </w:r>
      <w:r>
        <w:br/>
      </w:r>
      <w:r>
        <w:t xml:space="preserve">Downtown Dubai, United Arab Emirates</w:t>
      </w:r>
      <w:r>
        <w:br/>
      </w:r>
      <w:r>
        <w:t xml:space="preserve">Tel: +971 4 555 0192</w:t>
      </w:r>
      <w:r>
        <w:br/>
      </w:r>
      <w:r>
        <w:t xml:space="preserve">Email: quotations@technova.ae</w:t>
      </w:r>
    </w:p>
    <w:p>
      <w:pPr>
        <w:pStyle w:val="BodyText"/>
      </w:pPr>
      <w:r>
        <w:rPr>
          <w:bCs/>
          <w:b/>
        </w:rPr>
        <w:t xml:space="preserve">Prepared For:</w:t>
      </w:r>
      <w:r>
        <w:br/>
      </w:r>
      <w:r>
        <w:t xml:space="preserve">[Client Company Name]</w:t>
      </w:r>
      <w:r>
        <w:br/>
      </w:r>
      <w:r>
        <w:t xml:space="preserve">[Client Address]</w:t>
      </w:r>
      <w:r>
        <w:br/>
      </w:r>
      <w:r>
        <w:t xml:space="preserve">Dubai, United Arab Emirates</w:t>
      </w:r>
      <w:r>
        <w:br/>
      </w:r>
      <w:r>
        <w:t xml:space="preserve">Contact: [Client Contact Person]</w:t>
      </w:r>
      <w:r>
        <w:br/>
      </w:r>
      <w:r>
        <w:t xml:space="preserve">Email: [Client Email]</w:t>
      </w:r>
    </w:p>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Quotation No.:</w:t>
      </w:r>
      <w:r>
        <w:t xml:space="preserve"> </w:t>
      </w:r>
      <w:r>
        <w:t xml:space="preserve">QE-SE-DXB-2025-0847</w:t>
      </w:r>
      <w:r>
        <w:br/>
      </w:r>
      <w:r>
        <w:rPr>
          <w:bCs/>
          <w:b/>
        </w:rPr>
        <w:t xml:space="preserve">Project Code:</w:t>
      </w:r>
      <w:r>
        <w:t xml:space="preserve"> </w:t>
      </w:r>
      <w:r>
        <w:t xml:space="preserve">SE-DXB-2025</w:t>
      </w:r>
    </w:p>
    <w:bookmarkStart w:id="21" w:name="executive-summary"/>
    <w:p>
      <w:pPr>
        <w:pStyle w:val="Heading2"/>
      </w:pPr>
      <w:r>
        <w:t xml:space="preserve">1. Executive Summary</w:t>
      </w:r>
    </w:p>
    <w:p>
      <w:pPr>
        <w:pStyle w:val="FirstParagraph"/>
      </w:pPr>
      <w:r>
        <w:t xml:space="preserve">This</w:t>
      </w:r>
      <w:r>
        <w:t xml:space="preserve"> </w:t>
      </w:r>
      <w:r>
        <w:rPr>
          <w:bCs/>
          <w:b/>
        </w:rPr>
        <w:t xml:space="preserve">Quotation Estimate</w:t>
      </w:r>
      <w:r>
        <w:t xml:space="preserve"> </w:t>
      </w:r>
      <w:r>
        <w:t xml:space="preserve">is formally issued by TechNova Solutions FZ-LLC to provide comprehensive</w:t>
      </w:r>
      <w:r>
        <w:t xml:space="preserve"> </w:t>
      </w:r>
      <w:r>
        <w:rPr>
          <w:bCs/>
          <w:b/>
        </w:rPr>
        <w:t xml:space="preserve">Systems Engineer</w:t>
      </w:r>
      <w:r>
        <w:t xml:space="preserve"> </w:t>
      </w:r>
      <w:r>
        <w:t xml:space="preserve">professional services for the client's infrastructure project located in</w:t>
      </w:r>
      <w:r>
        <w:t xml:space="preserve"> </w:t>
      </w:r>
      <w:r>
        <w:rPr>
          <w:bCs/>
          <w:b/>
        </w:rPr>
        <w:t xml:space="preserve">United Arab Emirates Dubai</w:t>
      </w:r>
      <w:r>
        <w:t xml:space="preserve">. This document outlines the scope of work, deliverables, timelines, and associated costs for the engagement of a senior Systems Engineer to design, implement, and maintain enterprise-grade IT infrastructure solutions. The Quotation Estimate has been prepared in accordance with the regulatory and commercial standards applicable in the United Arab Emirates Dubai business environment and reflects current market rates for specialized technical personnel in the region.</w:t>
      </w:r>
    </w:p>
    <w:bookmarkEnd w:id="21"/>
    <w:bookmarkStart w:id="22" w:name="scope-of-work"/>
    <w:p>
      <w:pPr>
        <w:pStyle w:val="Heading2"/>
      </w:pPr>
      <w:r>
        <w:t xml:space="preserve">2. Scope of Work</w:t>
      </w:r>
    </w:p>
    <w:p>
      <w:pPr>
        <w:pStyle w:val="FirstParagraph"/>
      </w:pPr>
      <w:r>
        <w:t xml:space="preserve">The Systems Engineer engaged under this Quotation Estimate will be responsible for the following core activities within the United Arab Emirates Dubai operational environment:</w:t>
      </w:r>
    </w:p>
    <w:p>
      <w:pPr>
        <w:numPr>
          <w:ilvl w:val="0"/>
          <w:numId w:val="1001"/>
        </w:numPr>
        <w:pStyle w:val="Compact"/>
      </w:pPr>
      <w:r>
        <w:rPr>
          <w:bCs/>
          <w:b/>
        </w:rPr>
        <w:t xml:space="preserve">Infrastructure Design &amp; Architecture:</w:t>
      </w:r>
      <w:r>
        <w:t xml:space="preserve"> </w:t>
      </w:r>
      <w:r>
        <w:t xml:space="preserve">Designing scalable server, network, and storage architectures aligned with the client's business objectives and compliance requirements specific to the United Arab Emirates Dubai regulatory framework.</w:t>
      </w:r>
    </w:p>
    <w:p>
      <w:pPr>
        <w:numPr>
          <w:ilvl w:val="0"/>
          <w:numId w:val="1001"/>
        </w:numPr>
        <w:pStyle w:val="Compact"/>
      </w:pPr>
      <w:r>
        <w:rPr>
          <w:bCs/>
          <w:b/>
        </w:rPr>
        <w:t xml:space="preserve">System Implementation &amp; Deployment:</w:t>
      </w:r>
      <w:r>
        <w:t xml:space="preserve"> </w:t>
      </w:r>
      <w:r>
        <w:t xml:space="preserve">Hands-on installation, configuration, and deployment of hardware and software systems including operating systems, virtualization platforms, and cloud hybrid environments.</w:t>
      </w:r>
    </w:p>
    <w:p>
      <w:pPr>
        <w:numPr>
          <w:ilvl w:val="0"/>
          <w:numId w:val="1001"/>
        </w:numPr>
        <w:pStyle w:val="Compact"/>
      </w:pPr>
      <w:r>
        <w:rPr>
          <w:bCs/>
          <w:b/>
        </w:rPr>
        <w:t xml:space="preserve">Performance Optimization:</w:t>
      </w:r>
      <w:r>
        <w:t xml:space="preserve"> </w:t>
      </w:r>
      <w:r>
        <w:t xml:space="preserve">Conducting continuous performance tuning, capacity planning, and bottleneck resolution for all production systems operating in the Dubai data center facilities.</w:t>
      </w:r>
    </w:p>
    <w:p>
      <w:pPr>
        <w:numPr>
          <w:ilvl w:val="0"/>
          <w:numId w:val="1001"/>
        </w:numPr>
        <w:pStyle w:val="Compact"/>
      </w:pPr>
      <w:r>
        <w:rPr>
          <w:bCs/>
          <w:b/>
        </w:rPr>
        <w:t xml:space="preserve">Security &amp; Compliance:</w:t>
      </w:r>
      <w:r>
        <w:t xml:space="preserve"> </w:t>
      </w:r>
      <w:r>
        <w:t xml:space="preserve">Ensuring all systems meet the UAE Information &amp; Communications Regulatory Authority (TDRA) standards, Dubai Smart City security protocols, and international ISO 27001 requirements.</w:t>
      </w:r>
    </w:p>
    <w:p>
      <w:pPr>
        <w:numPr>
          <w:ilvl w:val="0"/>
          <w:numId w:val="1001"/>
        </w:numPr>
        <w:pStyle w:val="Compact"/>
      </w:pPr>
      <w:r>
        <w:rPr>
          <w:bCs/>
          <w:b/>
        </w:rPr>
        <w:t xml:space="preserve">Disaster Recovery &amp; Business Continuity:</w:t>
      </w:r>
      <w:r>
        <w:t xml:space="preserve"> </w:t>
      </w:r>
      <w:r>
        <w:t xml:space="preserve">Developing and testing disaster recovery plans and business continuity strategies tailored to the United Arab Emirates Dubai geographic and operational context.</w:t>
      </w:r>
    </w:p>
    <w:p>
      <w:pPr>
        <w:numPr>
          <w:ilvl w:val="0"/>
          <w:numId w:val="1001"/>
        </w:numPr>
        <w:pStyle w:val="Compact"/>
      </w:pPr>
      <w:r>
        <w:rPr>
          <w:bCs/>
          <w:b/>
        </w:rPr>
        <w:t xml:space="preserve">Vendor &amp; Stakeholder Coordination:</w:t>
      </w:r>
      <w:r>
        <w:t xml:space="preserve"> </w:t>
      </w:r>
      <w:r>
        <w:t xml:space="preserve">Liaising with hardware vendors, cloud service providers, and internal stakeholders to ensure seamless project delivery within the Dubai business ecosystem.</w:t>
      </w:r>
    </w:p>
    <w:p>
      <w:pPr>
        <w:numPr>
          <w:ilvl w:val="0"/>
          <w:numId w:val="1001"/>
        </w:numPr>
        <w:pStyle w:val="Compact"/>
      </w:pPr>
      <w:r>
        <w:rPr>
          <w:bCs/>
          <w:b/>
        </w:rPr>
        <w:t xml:space="preserve">Documentation &amp; Knowledge Transfer:</w:t>
      </w:r>
      <w:r>
        <w:t xml:space="preserve"> </w:t>
      </w:r>
      <w:r>
        <w:t xml:space="preserve">Producing comprehensive technical documentation, runbooks, and conducting knowledge transfer sessions for the client's internal IT team.</w:t>
      </w:r>
    </w:p>
    <w:bookmarkEnd w:id="22"/>
    <w:bookmarkStart w:id="23" w:name="systems-engineer-profile-qualifications"/>
    <w:p>
      <w:pPr>
        <w:pStyle w:val="Heading2"/>
      </w:pPr>
      <w:r>
        <w:t xml:space="preserve">3. Systems Engineer Profile &amp; Qualifications</w:t>
      </w:r>
    </w:p>
    <w:p>
      <w:pPr>
        <w:pStyle w:val="FirstParagraph"/>
      </w:pPr>
      <w:r>
        <w:t xml:space="preserve">The Systems Engineer proposed under this Quotation Estimate meets the following minimum qualification criteria:</w:t>
      </w:r>
    </w:p>
    <w:p>
      <w:pPr>
        <w:numPr>
          <w:ilvl w:val="0"/>
          <w:numId w:val="1002"/>
        </w:numPr>
        <w:pStyle w:val="Compact"/>
      </w:pPr>
      <w:r>
        <w:t xml:space="preserve">Bachelor's or Master's degree in Computer Science, Information Technology, or a related engineering discipline.</w:t>
      </w:r>
    </w:p>
    <w:p>
      <w:pPr>
        <w:numPr>
          <w:ilvl w:val="0"/>
          <w:numId w:val="1002"/>
        </w:numPr>
        <w:pStyle w:val="Compact"/>
      </w:pPr>
      <w:r>
        <w:t xml:space="preserve">Minimum 8 years of progressive experience in enterprise systems engineering, with at least 3 years in the Middle East or United Arab Emirates Dubai market.</w:t>
      </w:r>
    </w:p>
    <w:p>
      <w:pPr>
        <w:numPr>
          <w:ilvl w:val="0"/>
          <w:numId w:val="1002"/>
        </w:numPr>
        <w:pStyle w:val="Compact"/>
      </w:pPr>
      <w:r>
        <w:t xml:space="preserve">Certifications: Microsoft Certified: Azure Solutions Architect Expert, Cisco CCNP/CCIE, VMware VCP, and AWS Solutions Architect Professional.</w:t>
      </w:r>
    </w:p>
    <w:p>
      <w:pPr>
        <w:numPr>
          <w:ilvl w:val="0"/>
          <w:numId w:val="1002"/>
        </w:numPr>
        <w:pStyle w:val="Compact"/>
      </w:pPr>
      <w:r>
        <w:t xml:space="preserve">Demonstrated expertise in Linux (RHEL, Ubuntu), Windows Server, VMware vSphere, Kubernetes, and hybrid cloud environments.</w:t>
      </w:r>
    </w:p>
    <w:p>
      <w:pPr>
        <w:numPr>
          <w:ilvl w:val="0"/>
          <w:numId w:val="1002"/>
        </w:numPr>
        <w:pStyle w:val="Compact"/>
      </w:pPr>
      <w:r>
        <w:t xml:space="preserve">Fluency in English; working proficiency in Arabic is considered a significant advantage for operations in United Arab Emirates Dubai.</w:t>
      </w:r>
    </w:p>
    <w:p>
      <w:pPr>
        <w:numPr>
          <w:ilvl w:val="0"/>
          <w:numId w:val="1002"/>
        </w:numPr>
        <w:pStyle w:val="Compact"/>
      </w:pPr>
      <w:r>
        <w:t xml:space="preserve">Valid UAE residence visa or eligibility for work permit sponsorship.</w:t>
      </w:r>
    </w:p>
    <w:bookmarkEnd w:id="23"/>
    <w:bookmarkStart w:id="24" w:name="financial-breakdown"/>
    <w:p>
      <w:pPr>
        <w:pStyle w:val="Heading2"/>
      </w:pPr>
      <w:r>
        <w:t xml:space="preserve">4.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(AED)</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Senior Systems Engineer – Monthly Professional Fee</w:t>
            </w:r>
          </w:p>
        </w:tc>
        <w:tc>
          <w:tcPr/>
          <w:p>
            <w:pPr>
              <w:pStyle w:val="Compact"/>
              <w:jc w:val="left"/>
            </w:pPr>
            <w:r>
              <w:t xml:space="preserve">12 months</w:t>
            </w:r>
          </w:p>
        </w:tc>
        <w:tc>
          <w:tcPr/>
          <w:p>
            <w:pPr>
              <w:pStyle w:val="Compact"/>
              <w:jc w:val="left"/>
            </w:pPr>
            <w:r>
              <w:t xml:space="preserve">38,000</w:t>
            </w:r>
          </w:p>
        </w:tc>
        <w:tc>
          <w:tcPr/>
          <w:p>
            <w:pPr>
              <w:pStyle w:val="Compact"/>
              <w:jc w:val="left"/>
            </w:pPr>
            <w:r>
              <w:t xml:space="preserve">456,000</w:t>
            </w:r>
          </w:p>
        </w:tc>
      </w:tr>
      <w:tr>
        <w:tc>
          <w:tcPr/>
          <w:p>
            <w:pPr>
              <w:pStyle w:val="Compact"/>
              <w:jc w:val="left"/>
            </w:pPr>
            <w:r>
              <w:t xml:space="preserve">02</w:t>
            </w:r>
          </w:p>
        </w:tc>
        <w:tc>
          <w:tcPr/>
          <w:p>
            <w:pPr>
              <w:pStyle w:val="Compact"/>
              <w:jc w:val="left"/>
            </w:pPr>
            <w:r>
              <w:t xml:space="preserve">Systems Engineer – Onboarding &amp; Initial Assessment</w:t>
            </w:r>
          </w:p>
        </w:tc>
        <w:tc>
          <w:tcPr/>
          <w:p>
            <w:pPr>
              <w:pStyle w:val="Compact"/>
              <w:jc w:val="left"/>
            </w:pPr>
            <w:r>
              <w:t xml:space="preserve">2 weeks</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03</w:t>
            </w:r>
          </w:p>
        </w:tc>
        <w:tc>
          <w:tcPr/>
          <w:p>
            <w:pPr>
              <w:pStyle w:val="Compact"/>
              <w:jc w:val="left"/>
            </w:pPr>
            <w:r>
              <w:t xml:space="preserve">Infrastructure Design &amp; Architecture Documentation</w:t>
            </w:r>
          </w:p>
        </w:tc>
        <w:tc>
          <w:tcPr/>
          <w:p>
            <w:pPr>
              <w:pStyle w:val="Compact"/>
              <w:jc w:val="left"/>
            </w:pPr>
            <w:r>
              <w:t xml:space="preserve">1 month</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04</w:t>
            </w:r>
          </w:p>
        </w:tc>
        <w:tc>
          <w:tcPr/>
          <w:p>
            <w:pPr>
              <w:pStyle w:val="Compact"/>
              <w:jc w:val="left"/>
            </w:pPr>
            <w:r>
              <w:t xml:space="preserve">System Implementation &amp; Deployment (Phased)</w:t>
            </w:r>
          </w:p>
        </w:tc>
        <w:tc>
          <w:tcPr/>
          <w:p>
            <w:pPr>
              <w:pStyle w:val="Compact"/>
              <w:jc w:val="left"/>
            </w:pPr>
            <w:r>
              <w:t xml:space="preserve">3 months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05</w:t>
            </w:r>
          </w:p>
        </w:tc>
        <w:tc>
          <w:tcPr/>
          <w:p>
            <w:pPr>
              <w:pStyle w:val="Compact"/>
              <w:jc w:val="left"/>
            </w:pPr>
            <w:r>
              <w:t xml:space="preserve">Performance Optimization &amp; Tuning</w:t>
            </w:r>
          </w:p>
        </w:tc>
        <w:tc>
          <w:tcPr/>
          <w:p>
            <w:pPr>
              <w:pStyle w:val="Compact"/>
              <w:jc w:val="left"/>
            </w:pPr>
            <w:r>
              <w:t xml:space="preserve">Ongoing</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06</w:t>
            </w:r>
          </w:p>
        </w:tc>
        <w:tc>
          <w:tcPr/>
          <w:p>
            <w:pPr>
              <w:pStyle w:val="Compact"/>
              <w:jc w:val="left"/>
            </w:pPr>
            <w:r>
              <w:t xml:space="preserve">Security Audit &amp; Compliance Alignment (TDRA/ISO)</w:t>
            </w:r>
          </w:p>
        </w:tc>
        <w:tc>
          <w:tcPr/>
          <w:p>
            <w:pPr>
              <w:pStyle w:val="Compact"/>
              <w:jc w:val="left"/>
            </w:pPr>
            <w:r>
              <w:t xml:space="preserve">1 month</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07</w:t>
            </w:r>
          </w:p>
        </w:tc>
        <w:tc>
          <w:tcPr/>
          <w:p>
            <w:pPr>
              <w:pStyle w:val="Compact"/>
              <w:jc w:val="left"/>
            </w:pPr>
            <w:r>
              <w:t xml:space="preserve">Disaster Recovery Plan Development &amp; Testing</w:t>
            </w:r>
          </w:p>
        </w:tc>
        <w:tc>
          <w:tcPr/>
          <w:p>
            <w:pPr>
              <w:pStyle w:val="Compact"/>
              <w:jc w:val="left"/>
            </w:pPr>
            <w:r>
              <w:t xml:space="preserve">1 month</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08</w:t>
            </w:r>
          </w:p>
        </w:tc>
        <w:tc>
          <w:tcPr/>
          <w:p>
            <w:pPr>
              <w:pStyle w:val="Compact"/>
              <w:jc w:val="left"/>
            </w:pPr>
            <w:r>
              <w:t xml:space="preserve">Knowledge Transfer &amp; Final Documentation</w:t>
            </w:r>
          </w:p>
        </w:tc>
        <w:tc>
          <w:tcPr/>
          <w:p>
            <w:pPr>
              <w:pStyle w:val="Compact"/>
              <w:jc w:val="left"/>
            </w:pPr>
            <w:r>
              <w:t xml:space="preserve">2 weeks</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09</w:t>
            </w:r>
          </w:p>
        </w:tc>
        <w:tc>
          <w:tcPr/>
          <w:p>
            <w:pPr>
              <w:pStyle w:val="Compact"/>
              <w:jc w:val="left"/>
            </w:pPr>
            <w:r>
              <w:t xml:space="preserve">Travel &amp; Local Transportation (Dubai Metro Area)</w:t>
            </w:r>
          </w:p>
        </w:tc>
        <w:tc>
          <w:tcPr/>
          <w:p>
            <w:pPr>
              <w:pStyle w:val="Compact"/>
              <w:jc w:val="left"/>
            </w:pPr>
            <w:r>
              <w:t xml:space="preserve">12 months</w:t>
            </w:r>
          </w:p>
        </w:tc>
        <w:tc>
          <w:tcPr/>
          <w:p>
            <w:pPr>
              <w:pStyle w:val="Compact"/>
              <w:jc w:val="left"/>
            </w:pPr>
            <w:r>
              <w:t xml:space="preserve">3,500</w:t>
            </w:r>
          </w:p>
        </w:tc>
        <w:tc>
          <w:tcPr/>
          <w:p>
            <w:pPr>
              <w:pStyle w:val="Compact"/>
              <w:jc w:val="left"/>
            </w:pPr>
            <w:r>
              <w:t xml:space="preserve">42,000</w:t>
            </w:r>
          </w:p>
        </w:tc>
      </w:tr>
      <w:tr>
        <w:tc>
          <w:tcPr/>
          <w:p>
            <w:pPr>
              <w:pStyle w:val="Compact"/>
              <w:jc w:val="left"/>
            </w:pPr>
            <w:r>
              <w:t xml:space="preserve">10</w:t>
            </w:r>
          </w:p>
        </w:tc>
        <w:tc>
          <w:tcPr/>
          <w:p>
            <w:pPr>
              <w:pStyle w:val="Compact"/>
              <w:jc w:val="left"/>
            </w:pPr>
            <w:r>
              <w:t xml:space="preserve">Work Permit &amp; Visa Sponsorship (UAE)</w:t>
            </w:r>
          </w:p>
        </w:tc>
        <w:tc>
          <w:tcPr/>
          <w:p>
            <w:pPr>
              <w:pStyle w:val="Compact"/>
              <w:jc w:val="left"/>
            </w:pPr>
            <w:r>
              <w:t xml:space="preserve">One-time</w:t>
            </w:r>
          </w:p>
        </w:tc>
        <w:tc>
          <w:tcPr/>
          <w:p>
            <w:pPr>
              <w:pStyle w:val="Compact"/>
              <w:jc w:val="left"/>
            </w:pPr>
            <w:r>
              <w:t xml:space="preserve">8,500</w:t>
            </w:r>
          </w:p>
        </w:tc>
        <w:tc>
          <w:tcPr/>
          <w:p>
            <w:pPr>
              <w:pStyle w:val="Compact"/>
              <w:jc w:val="left"/>
            </w:pPr>
            <w:r>
              <w:t xml:space="preserve">8,500</w:t>
            </w:r>
          </w:p>
        </w:tc>
      </w:tr>
      <w:tr>
        <w:tc>
          <w:tcPr>
            <w:gridSpan w:val="4"/>
          </w:tcPr>
          <w:p>
            <w:pPr>
              <w:pStyle w:val="Compact"/>
              <w:jc w:val="left"/>
            </w:pPr>
            <w:r>
              <w:t xml:space="preserve">Subtotal (AED)</w:t>
            </w:r>
          </w:p>
        </w:tc>
        <w:tc>
          <w:tcPr/>
          <w:p>
            <w:pPr>
              <w:pStyle w:val="Compact"/>
              <w:jc w:val="left"/>
            </w:pPr>
            <w:r>
              <w:t xml:space="preserve">765,500</w:t>
            </w:r>
          </w:p>
        </w:tc>
      </w:tr>
      <w:tr>
        <w:tc>
          <w:tcPr>
            <w:gridSpan w:val="4"/>
          </w:tcPr>
          <w:p>
            <w:pPr>
              <w:pStyle w:val="Compact"/>
              <w:jc w:val="left"/>
            </w:pPr>
            <w:r>
              <w:t xml:space="preserve">VAT @ 5% (United Arab Emirates)</w:t>
            </w:r>
          </w:p>
        </w:tc>
        <w:tc>
          <w:tcPr/>
          <w:p>
            <w:pPr>
              <w:pStyle w:val="Compact"/>
              <w:jc w:val="left"/>
            </w:pPr>
            <w:r>
              <w:t xml:space="preserve">38,275</w:t>
            </w:r>
          </w:p>
        </w:tc>
      </w:tr>
      <w:tr>
        <w:tc>
          <w:tcPr>
            <w:gridSpan w:val="4"/>
          </w:tcPr>
          <w:p>
            <w:pPr>
              <w:pStyle w:val="Compact"/>
              <w:jc w:val="left"/>
            </w:pPr>
            <w:r>
              <w:rPr>
                <w:bCs/>
                <w:b/>
              </w:rPr>
              <w:t xml:space="preserve">TOTAL ESTIMATED COST (AED)</w:t>
            </w:r>
          </w:p>
        </w:tc>
        <w:tc>
          <w:tcPr/>
          <w:p>
            <w:pPr>
              <w:pStyle w:val="Compact"/>
              <w:jc w:val="left"/>
            </w:pPr>
            <w:r>
              <w:rPr>
                <w:bCs/>
                <w:b/>
              </w:rPr>
              <w:t xml:space="preserve">803,775</w:t>
            </w:r>
          </w:p>
        </w:tc>
      </w:tr>
    </w:tbl>
    <w:bookmarkEnd w:id="24"/>
    <w:bookmarkStart w:id="25" w:name="payment-terms"/>
    <w:p>
      <w:pPr>
        <w:pStyle w:val="Heading2"/>
      </w:pPr>
      <w:r>
        <w:t xml:space="preserve">5. Payment Terms</w:t>
      </w:r>
    </w:p>
    <w:p>
      <w:pPr>
        <w:numPr>
          <w:ilvl w:val="0"/>
          <w:numId w:val="1003"/>
        </w:numPr>
        <w:pStyle w:val="Compact"/>
      </w:pPr>
      <w:r>
        <w:t xml:space="preserve">25% advance payment upon acceptance of this Quotation Estimate and execution of the service agreement.</w:t>
      </w:r>
    </w:p>
    <w:p>
      <w:pPr>
        <w:numPr>
          <w:ilvl w:val="0"/>
          <w:numId w:val="1003"/>
        </w:numPr>
        <w:pStyle w:val="Compact"/>
      </w:pPr>
      <w:r>
        <w:t xml:space="preserve">Monthly invoices issued on the 1st of each calendar month for the Systems Engineer professional fee, payable within 14 days of invoice date.</w:t>
      </w:r>
    </w:p>
    <w:p>
      <w:pPr>
        <w:numPr>
          <w:ilvl w:val="0"/>
          <w:numId w:val="1003"/>
        </w:numPr>
        <w:pStyle w:val="Compact"/>
      </w:pPr>
      <w:r>
        <w:t xml:space="preserve">Project milestone payments (Items 03, 04, 06, 07, 08) due within 14 days of milestone completion sign-off.</w:t>
      </w:r>
    </w:p>
    <w:p>
      <w:pPr>
        <w:numPr>
          <w:ilvl w:val="0"/>
          <w:numId w:val="1003"/>
        </w:numPr>
        <w:pStyle w:val="Compact"/>
      </w:pPr>
      <w:r>
        <w:t xml:space="preserve">All payments to be made in United Arab Emirates Dirhams (AED) via bank transfer to the designated TechNova Solutions FZ-LLC account in Dubai.</w:t>
      </w:r>
    </w:p>
    <w:p>
      <w:pPr>
        <w:numPr>
          <w:ilvl w:val="0"/>
          <w:numId w:val="1003"/>
        </w:numPr>
        <w:pStyle w:val="Compact"/>
      </w:pPr>
      <w:r>
        <w:t xml:space="preserve">Late payments shall attract a penalty of 2% per month as per UAE commercial law.</w:t>
      </w:r>
    </w:p>
    <w:bookmarkEnd w:id="25"/>
    <w:bookmarkStart w:id="26" w:name="terms-conditions"/>
    <w:p>
      <w:pPr>
        <w:pStyle w:val="Heading2"/>
      </w:pPr>
      <w:r>
        <w:t xml:space="preserve">6. Terms &amp; Conditions</w:t>
      </w:r>
    </w:p>
    <w:p>
      <w:pPr>
        <w:numPr>
          <w:ilvl w:val="0"/>
          <w:numId w:val="1004"/>
        </w:numPr>
        <w:pStyle w:val="Compact"/>
      </w:pPr>
      <w:r>
        <w:t xml:space="preserve">This Quotation Estimate is valid for 30 calendar days from the date of issue. Beyond this period, pricing may be subject to revision based on market conditions in United Arab Emirates Dubai.</w:t>
      </w:r>
    </w:p>
    <w:p>
      <w:pPr>
        <w:numPr>
          <w:ilvl w:val="0"/>
          <w:numId w:val="1004"/>
        </w:numPr>
        <w:pStyle w:val="Compact"/>
      </w:pPr>
      <w:r>
        <w:t xml:space="preserve">The Systems Engineer shall adhere to all UAE labor laws, data protection regulations (UAE PDPL), and Dubai-specific IT governance policies.</w:t>
      </w:r>
    </w:p>
    <w:p>
      <w:pPr>
        <w:numPr>
          <w:ilvl w:val="0"/>
          <w:numId w:val="1004"/>
        </w:numPr>
        <w:pStyle w:val="Compact"/>
      </w:pPr>
      <w:r>
        <w:t xml:space="preserve">Confidentiality and Non-Disclosure obligations shall be binding for a period of 24 months post-engagement.</w:t>
      </w:r>
    </w:p>
    <w:p>
      <w:pPr>
        <w:numPr>
          <w:ilvl w:val="0"/>
          <w:numId w:val="1004"/>
        </w:numPr>
        <w:pStyle w:val="Compact"/>
      </w:pPr>
      <w:r>
        <w:t xml:space="preserve">Any scope changes beyond the defined work in this Quotation Estimate shall be subject to a formal change request and supplementary estimate.</w:t>
      </w:r>
    </w:p>
    <w:p>
      <w:pPr>
        <w:numPr>
          <w:ilvl w:val="0"/>
          <w:numId w:val="1004"/>
        </w:numPr>
        <w:pStyle w:val="Compact"/>
      </w:pPr>
      <w:r>
        <w:t xml:space="preserve">Liability of TechNova Solutions FZ-LLC shall be limited to the total value of this Quotation Estimate.</w:t>
      </w:r>
    </w:p>
    <w:p>
      <w:pPr>
        <w:numPr>
          <w:ilvl w:val="0"/>
          <w:numId w:val="1004"/>
        </w:numPr>
        <w:pStyle w:val="Compact"/>
      </w:pPr>
      <w:r>
        <w:t xml:space="preserve">Governing law: United Arab Emirates Federal Law, with jurisdiction in the Dubai Courts.</w:t>
      </w:r>
    </w:p>
    <w:p>
      <w:pPr>
        <w:numPr>
          <w:ilvl w:val="0"/>
          <w:numId w:val="1004"/>
        </w:numPr>
        <w:pStyle w:val="Compact"/>
      </w:pPr>
      <w:r>
        <w:t xml:space="preserve">This Quotation Estimate does not constitute a binding contract until both parties execute the formal Service Level Agreement (SLA) and Master Service Agreement (MSA).</w:t>
      </w:r>
    </w:p>
    <w:bookmarkEnd w:id="26"/>
    <w:bookmarkStart w:id="27" w:name="acceptance-authorization"/>
    <w:p>
      <w:pPr>
        <w:pStyle w:val="Heading2"/>
      </w:pPr>
      <w:r>
        <w:t xml:space="preserve">7. Acceptance &amp; Authorization</w:t>
      </w:r>
    </w:p>
    <w:p>
      <w:pPr>
        <w:pStyle w:val="FirstParagraph"/>
      </w:pPr>
      <w:r>
        <w:t xml:space="preserve">By signing below, the client acknowledges receipt of this Quotation Estimate for Systems Engineer services in United Arab Emirates Dubai and agrees to the terms, conditions, and financial estimates outlined herein. This acceptance does not constitute a final contract but serves as a formal expression of intent to proceed with the engagement.</w:t>
      </w:r>
    </w:p>
    <w:p>
      <w:pPr>
        <w:pStyle w:val="BodyText"/>
      </w:pPr>
      <w:r>
        <w:rPr>
          <w:bCs/>
          <w:b/>
        </w:rPr>
        <w:t xml:space="preserve">For TechNova Solutions FZ-LLC</w:t>
      </w:r>
      <w:r>
        <w:br/>
      </w:r>
      <w:r>
        <w:t xml:space="preserve">Authorized Signatory</w:t>
      </w:r>
      <w:r>
        <w:br/>
      </w:r>
      <w:r>
        <w:t xml:space="preserve">Name: _______________________</w:t>
      </w:r>
      <w:r>
        <w:br/>
      </w:r>
      <w:r>
        <w:t xml:space="preserve">Title: Managing Director</w:t>
      </w:r>
      <w:r>
        <w:br/>
      </w:r>
      <w:r>
        <w:t xml:space="preserve">Date: _______________________</w:t>
      </w:r>
    </w:p>
    <w:p>
      <w:pPr>
        <w:pStyle w:val="BodyText"/>
      </w:pPr>
      <w:r>
        <w:rPr>
          <w:bCs/>
          <w:b/>
        </w:rPr>
        <w:t xml:space="preserve">For [Client Company Name]</w:t>
      </w:r>
      <w:r>
        <w:br/>
      </w:r>
      <w:r>
        <w:t xml:space="preserve">Authorized Signatory</w:t>
      </w:r>
      <w:r>
        <w:br/>
      </w:r>
      <w:r>
        <w:t xml:space="preserve">Name: _______________________</w:t>
      </w:r>
      <w:r>
        <w:br/>
      </w:r>
      <w:r>
        <w:t xml:space="preserve">Title: _______________________</w:t>
      </w:r>
      <w:r>
        <w:br/>
      </w:r>
      <w:r>
        <w:t xml:space="preserve">Date: _______________________</w:t>
      </w:r>
    </w:p>
    <w:p>
      <w:pPr>
        <w:pStyle w:val="BodyText"/>
      </w:pPr>
      <w:r>
        <w:t xml:space="preserve">Quotation Estimate QE-SE-DXB-2025-0847 | TechNova Solutions FZ-LLC | United Arab Emirates Dubai</w:t>
      </w:r>
    </w:p>
    <w:p>
      <w:pPr>
        <w:pStyle w:val="BodyText"/>
      </w:pPr>
      <w:r>
        <w:t xml:space="preserve">This document is confidential and intended solely for the named recipient. Unauthorized distribution is prohibited under UAE law.</w:t>
      </w:r>
    </w:p>
    <w:p>
      <w:pPr>
        <w:pStyle w:val="BodyText"/>
      </w:pPr>
      <w:r>
        <w:t xml:space="preserve">Page 1 of 1 | Generated: 15 June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Services - United Arab Emirates Dubai</dc:title>
  <dc:creator/>
  <dc:language>en</dc:language>
  <cp:keywords/>
  <dcterms:created xsi:type="dcterms:W3CDTF">2026-10-10T02:32:12Z</dcterms:created>
  <dcterms:modified xsi:type="dcterms:W3CDTF">2026-10-10T02:32:12Z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