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quotation-estimate"/>
    <w:p>
      <w:pPr>
        <w:pStyle w:val="Heading1"/>
      </w:pPr>
      <w:r>
        <w:t xml:space="preserve">QUOTATION ESTIMATE</w:t>
      </w:r>
    </w:p>
    <w:p>
      <w:pPr>
        <w:pStyle w:val="FirstParagraph"/>
      </w:pPr>
      <w:r>
        <w:t xml:space="preserve">Professional Services — Systems Engineer Engagement</w:t>
      </w:r>
    </w:p>
    <w:p>
      <w:pPr>
        <w:pStyle w:val="BodyText"/>
      </w:pPr>
      <w:r>
        <w:t xml:space="preserve">Prepared for Clients in United States New York City</w:t>
      </w:r>
    </w:p>
    <w:p>
      <w:pPr>
        <w:pStyle w:val="BodyText"/>
      </w:pPr>
      <w:r>
        <w:t xml:space="preserve">Document Ref: QTE-2025-NYC-SE-0472</w:t>
      </w:r>
    </w:p>
    <w:bookmarkEnd w:id="20"/>
    <w:p>
      <w:pPr>
        <w:pStyle w:val="BodyText"/>
      </w:pPr>
      <w:r>
        <w:rPr>
          <w:bCs/>
          <w:b/>
        </w:rPr>
        <w:t xml:space="preserve">Quotation Estimate Date:</w:t>
      </w:r>
      <w:r>
        <w:t xml:space="preserve"> </w:t>
      </w:r>
      <w:r>
        <w:t xml:space="preserve">June 15, 2025</w:t>
      </w:r>
    </w:p>
    <w:p>
      <w:pPr>
        <w:pStyle w:val="BodyText"/>
      </w:pPr>
      <w:r>
        <w:rPr>
          <w:bCs/>
          <w:b/>
        </w:rPr>
        <w:t xml:space="preserve">Valid Until:</w:t>
      </w:r>
      <w:r>
        <w:t xml:space="preserve"> </w:t>
      </w:r>
      <w:r>
        <w:t xml:space="preserve">July 15, 2025</w:t>
      </w:r>
    </w:p>
    <w:p>
      <w:pPr>
        <w:pStyle w:val="BodyText"/>
      </w:pPr>
      <w:r>
        <w:rPr>
          <w:bCs/>
          <w:b/>
        </w:rPr>
        <w:t xml:space="preserve">Prepared By:</w:t>
      </w:r>
      <w:r>
        <w:t xml:space="preserve"> </w:t>
      </w:r>
      <w:r>
        <w:t xml:space="preserve">Meridian Technical Solutions LLC</w:t>
      </w:r>
    </w:p>
    <w:p>
      <w:pPr>
        <w:pStyle w:val="BodyText"/>
      </w:pPr>
      <w:r>
        <w:rPr>
          <w:bCs/>
          <w:b/>
        </w:rPr>
        <w:t xml:space="preserve">Service Location:</w:t>
      </w:r>
      <w:r>
        <w:t xml:space="preserve"> </w:t>
      </w:r>
      <w:r>
        <w:t xml:space="preserve">United States New York City, NY 10001</w:t>
      </w:r>
    </w:p>
    <w:bookmarkStart w:id="21" w:name="X091f0dfb82768bdcc14fb07ea5eabec314d991f"/>
    <w:p>
      <w:pPr>
        <w:pStyle w:val="Heading2"/>
      </w:pPr>
      <w:r>
        <w:t xml:space="preserve">1. Introduction and Purpose of This Quotation Estimate</w:t>
      </w:r>
    </w:p>
    <w:p>
      <w:pPr>
        <w:pStyle w:val="FirstParagraph"/>
      </w:pPr>
      <w:r>
        <w:t xml:space="preserve">This Quotation Estimate document has been prepared by Meridian Technical Solutions LLC to provide a comprehensive and transparent cost breakdown for the engagement of a qualified Systems Engineer to support infrastructure design, implementation, and ongoing maintenance operations within the United States New York City metropolitan area. This Quotation Estimate reflects current market rates, applicable New York State labor regulations, and the specialized expertise required to deliver enterprise-grade systems engineering services in one of the most demanding and regulated technology environments in the nation.</w:t>
      </w:r>
    </w:p>
    <w:p>
      <w:pPr>
        <w:pStyle w:val="BodyText"/>
      </w:pPr>
      <w:r>
        <w:t xml:space="preserve">The Systems Engineer role outlined in this Quotation Estimate encompasses the full lifecycle of IT infrastructure management, including network architecture design, server provisioning, cloud migration planning, cybersecurity hardening, performance monitoring, and disaster recovery strategy. All services described herein are tailored specifically to the operational requirements of organizations operating in United States New York City, where compliance with local, state, and federal regulations is paramount.</w:t>
      </w:r>
    </w:p>
    <w:bookmarkEnd w:id="21"/>
    <w:bookmarkStart w:id="22" w:name="X09324f8132ad998e68702bab1861d90e0f3de50"/>
    <w:p>
      <w:pPr>
        <w:pStyle w:val="Heading2"/>
      </w:pPr>
      <w:r>
        <w:t xml:space="preserve">2. Scope of Services — Systems Engineer Engagement</w:t>
      </w:r>
    </w:p>
    <w:p>
      <w:pPr>
        <w:pStyle w:val="FirstParagraph"/>
      </w:pPr>
      <w:r>
        <w:t xml:space="preserve">The Systems Engineer engaged under this Quotation Estimate will be responsible for the following core deliverables and ongoing responsibilities: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 Component</w:t>
            </w:r>
          </w:p>
        </w:tc>
        <w:tc>
          <w:tcPr/>
          <w:p>
            <w:pPr>
              <w:pStyle w:val="Compact"/>
              <w:jc w:val="left"/>
            </w:pPr>
            <w:r>
              <w:t xml:space="preserve">Description</w:t>
            </w:r>
          </w:p>
        </w:tc>
        <w:tc>
          <w:tcPr/>
          <w:p>
            <w:pPr>
              <w:pStyle w:val="Compact"/>
              <w:jc w:val="left"/>
            </w:pPr>
            <w:r>
              <w:t xml:space="preserve">Duration / Frequency</w:t>
            </w:r>
          </w:p>
        </w:tc>
      </w:tr>
      <w:tr>
        <w:tc>
          <w:tcPr/>
          <w:p>
            <w:pPr>
              <w:pStyle w:val="Compact"/>
              <w:jc w:val="left"/>
            </w:pPr>
            <w:r>
              <w:t xml:space="preserve">Infrastructure Assessment &amp; Audit</w:t>
            </w:r>
          </w:p>
        </w:tc>
        <w:tc>
          <w:tcPr/>
          <w:p>
            <w:pPr>
              <w:pStyle w:val="Compact"/>
              <w:jc w:val="left"/>
            </w:pPr>
            <w:r>
              <w:t xml:space="preserve">Comprehensive review of existing hardware, software, network topology, and security posture across all United States New York City office locations.</w:t>
            </w:r>
          </w:p>
        </w:tc>
        <w:tc>
          <w:tcPr/>
          <w:p>
            <w:pPr>
              <w:pStyle w:val="Compact"/>
              <w:jc w:val="left"/>
            </w:pPr>
            <w:r>
              <w:t xml:space="preserve">One-time (Week 1–2)</w:t>
            </w:r>
          </w:p>
        </w:tc>
      </w:tr>
      <w:tr>
        <w:tc>
          <w:tcPr/>
          <w:p>
            <w:pPr>
              <w:pStyle w:val="Compact"/>
              <w:jc w:val="left"/>
            </w:pPr>
            <w:r>
              <w:t xml:space="preserve">System Architecture Design</w:t>
            </w:r>
          </w:p>
        </w:tc>
        <w:tc>
          <w:tcPr/>
          <w:p>
            <w:pPr>
              <w:pStyle w:val="Compact"/>
              <w:jc w:val="left"/>
            </w:pPr>
            <w:r>
              <w:t xml:space="preserve">Design and documentation of scalable, redundant system architecture aligned with client business objectives and NYC data residency requirements.</w:t>
            </w:r>
          </w:p>
        </w:tc>
        <w:tc>
          <w:tcPr/>
          <w:p>
            <w:pPr>
              <w:pStyle w:val="Compact"/>
              <w:jc w:val="left"/>
            </w:pPr>
            <w:r>
              <w:t xml:space="preserve">One-time (Week 3–5)</w:t>
            </w:r>
          </w:p>
        </w:tc>
      </w:tr>
      <w:tr>
        <w:tc>
          <w:tcPr/>
          <w:p>
            <w:pPr>
              <w:pStyle w:val="Compact"/>
              <w:jc w:val="left"/>
            </w:pPr>
            <w:r>
              <w:t xml:space="preserve">Server &amp; Network Implementation</w:t>
            </w:r>
          </w:p>
        </w:tc>
        <w:tc>
          <w:tcPr/>
          <w:p>
            <w:pPr>
              <w:pStyle w:val="Compact"/>
              <w:jc w:val="left"/>
            </w:pPr>
            <w:r>
              <w:t xml:space="preserve">Provisioning, configuration, and deployment of physical and virtual servers, load balancers, firewalls, and network switches.</w:t>
            </w:r>
          </w:p>
        </w:tc>
        <w:tc>
          <w:tcPr/>
          <w:p>
            <w:pPr>
              <w:pStyle w:val="Compact"/>
              <w:jc w:val="left"/>
            </w:pPr>
            <w:r>
              <w:t xml:space="preserve">One-time (Week 6–10)</w:t>
            </w:r>
          </w:p>
        </w:tc>
      </w:tr>
      <w:tr>
        <w:tc>
          <w:tcPr/>
          <w:p>
            <w:pPr>
              <w:pStyle w:val="Compact"/>
              <w:jc w:val="left"/>
            </w:pPr>
            <w:r>
              <w:t xml:space="preserve">Cloud Migration &amp; Hybrid Integration</w:t>
            </w:r>
          </w:p>
        </w:tc>
        <w:tc>
          <w:tcPr/>
          <w:p>
            <w:pPr>
              <w:pStyle w:val="Compact"/>
              <w:jc w:val="left"/>
            </w:pPr>
            <w:r>
              <w:t xml:space="preserve">Migration of legacy on-premises workloads to AWS, Azure, or GCP with hybrid connectivity to United States New York City data centers.</w:t>
            </w:r>
          </w:p>
        </w:tc>
        <w:tc>
          <w:tcPr/>
          <w:p>
            <w:pPr>
              <w:pStyle w:val="Compact"/>
              <w:jc w:val="left"/>
            </w:pPr>
            <w:r>
              <w:t xml:space="preserve">One-time (Week 11–16)</w:t>
            </w:r>
          </w:p>
        </w:tc>
      </w:tr>
      <w:tr>
        <w:tc>
          <w:tcPr/>
          <w:p>
            <w:pPr>
              <w:pStyle w:val="Compact"/>
              <w:jc w:val="left"/>
            </w:pPr>
            <w:r>
              <w:t xml:space="preserve">Cybersecurity Hardening</w:t>
            </w:r>
          </w:p>
        </w:tc>
        <w:tc>
          <w:tcPr/>
          <w:p>
            <w:pPr>
              <w:pStyle w:val="Compact"/>
              <w:jc w:val="left"/>
            </w:pPr>
            <w:r>
              <w:t xml:space="preserve">Implementation of encryption, access controls, intrusion detection systems, and compliance auditing per NYDFS and CMMC standards.</w:t>
            </w:r>
          </w:p>
        </w:tc>
        <w:tc>
          <w:tcPr/>
          <w:p>
            <w:pPr>
              <w:pStyle w:val="Compact"/>
              <w:jc w:val="left"/>
            </w:pPr>
            <w:r>
              <w:t xml:space="preserve">One-time + quarterly reviews</w:t>
            </w:r>
          </w:p>
        </w:tc>
      </w:tr>
      <w:tr>
        <w:tc>
          <w:tcPr/>
          <w:p>
            <w:pPr>
              <w:pStyle w:val="Compact"/>
              <w:jc w:val="left"/>
            </w:pPr>
            <w:r>
              <w:t xml:space="preserve">Ongoing Monitoring &amp; Maintenance</w:t>
            </w:r>
          </w:p>
        </w:tc>
        <w:tc>
          <w:tcPr/>
          <w:p>
            <w:pPr>
              <w:pStyle w:val="Compact"/>
              <w:jc w:val="left"/>
            </w:pPr>
            <w:r>
              <w:t xml:space="preserve">24/7/365 system monitoring, patch management, performance tuning, and incident response for all managed infrastructure.</w:t>
            </w:r>
          </w:p>
        </w:tc>
        <w:tc>
          <w:tcPr/>
          <w:p>
            <w:pPr>
              <w:pStyle w:val="Compact"/>
              <w:jc w:val="left"/>
            </w:pPr>
            <w:r>
              <w:t xml:space="preserve">Monthly (12-month contract)</w:t>
            </w:r>
          </w:p>
        </w:tc>
      </w:tr>
      <w:tr>
        <w:tc>
          <w:tcPr/>
          <w:p>
            <w:pPr>
              <w:pStyle w:val="Compact"/>
              <w:jc w:val="left"/>
            </w:pPr>
            <w:r>
              <w:t xml:space="preserve">Disaster Recovery &amp; Business Continuity</w:t>
            </w:r>
          </w:p>
        </w:tc>
        <w:tc>
          <w:tcPr/>
          <w:p>
            <w:pPr>
              <w:pStyle w:val="Compact"/>
              <w:jc w:val="left"/>
            </w:pPr>
            <w:r>
              <w:t xml:space="preserve">Development and testing of DR/BCP plans with RTO under 4 hours and RPO under 15 minutes, compliant with NYC emergency management guidelines.</w:t>
            </w:r>
          </w:p>
        </w:tc>
        <w:tc>
          <w:tcPr/>
          <w:p>
            <w:pPr>
              <w:pStyle w:val="Compact"/>
              <w:jc w:val="left"/>
            </w:pPr>
            <w:r>
              <w:t xml:space="preserve">One-time + bi-annual drills</w:t>
            </w:r>
          </w:p>
        </w:tc>
      </w:tr>
    </w:tbl>
    <w:bookmarkEnd w:id="22"/>
    <w:bookmarkStart w:id="23" w:name="X99c9499de5c98ccaacfa8f1f6f8363d33ed1c39"/>
    <w:p>
      <w:pPr>
        <w:pStyle w:val="Heading2"/>
      </w:pPr>
      <w:r>
        <w:t xml:space="preserve">3. Financial Breakdown — Quotation Estimate Pricing</w:t>
      </w:r>
    </w:p>
    <w:p>
      <w:pPr>
        <w:pStyle w:val="FirstParagraph"/>
      </w:pPr>
      <w:r>
        <w:t xml:space="preserve">The following Quotation Estimate pricing structure reflects the total cost of engaging the Systems Engineer and associated technical resources for the full scope of work described above. All rates are quoted in United States Dollars (USD) and include applicable New York State and New York City sales tax where mandated.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Line Item</w:t>
            </w:r>
          </w:p>
        </w:tc>
        <w:tc>
          <w:tcPr/>
          <w:p>
            <w:pPr>
              <w:pStyle w:val="Compact"/>
              <w:jc w:val="left"/>
            </w:pPr>
            <w:r>
              <w:t xml:space="preserve">Rate / Cost</w:t>
            </w:r>
          </w:p>
        </w:tc>
        <w:tc>
          <w:tcPr/>
          <w:p>
            <w:pPr>
              <w:pStyle w:val="Compact"/>
              <w:jc w:val="left"/>
            </w:pPr>
            <w:r>
              <w:t xml:space="preserve">Quantity</w:t>
            </w:r>
          </w:p>
        </w:tc>
        <w:tc>
          <w:tcPr/>
          <w:p>
            <w:pPr>
              <w:pStyle w:val="Compact"/>
              <w:jc w:val="left"/>
            </w:pPr>
            <w:r>
              <w:t xml:space="preserve">Subtotal (USD)</w:t>
            </w:r>
          </w:p>
        </w:tc>
      </w:tr>
      <w:tr>
        <w:tc>
          <w:tcPr/>
          <w:p>
            <w:pPr>
              <w:pStyle w:val="Compact"/>
              <w:jc w:val="left"/>
            </w:pPr>
            <w:r>
              <w:t xml:space="preserve">Systems Engineer — Senior (Lead)</w:t>
            </w:r>
          </w:p>
        </w:tc>
        <w:tc>
          <w:tcPr/>
          <w:p>
            <w:pPr>
              <w:pStyle w:val="Compact"/>
              <w:jc w:val="left"/>
            </w:pPr>
            <w:r>
              <w:t xml:space="preserve">$185.00 / hr</w:t>
            </w:r>
          </w:p>
        </w:tc>
        <w:tc>
          <w:tcPr/>
          <w:p>
            <w:pPr>
              <w:pStyle w:val="Compact"/>
              <w:jc w:val="left"/>
            </w:pPr>
            <w:r>
              <w:t xml:space="preserve">480 hrs</w:t>
            </w:r>
          </w:p>
        </w:tc>
        <w:tc>
          <w:tcPr/>
          <w:p>
            <w:pPr>
              <w:pStyle w:val="Compact"/>
              <w:jc w:val="left"/>
            </w:pPr>
            <w:r>
              <w:t xml:space="preserve">$88,800.00</w:t>
            </w:r>
          </w:p>
        </w:tc>
      </w:tr>
      <w:tr>
        <w:tc>
          <w:tcPr/>
          <w:p>
            <w:pPr>
              <w:pStyle w:val="Compact"/>
              <w:jc w:val="left"/>
            </w:pPr>
            <w:r>
              <w:t xml:space="preserve">Systems Engineer — Mid-Level (Support)</w:t>
            </w:r>
          </w:p>
        </w:tc>
        <w:tc>
          <w:tcPr/>
          <w:p>
            <w:pPr>
              <w:pStyle w:val="Compact"/>
              <w:jc w:val="left"/>
            </w:pPr>
            <w:r>
              <w:t xml:space="preserve">$125.00 / hr</w:t>
            </w:r>
          </w:p>
        </w:tc>
        <w:tc>
          <w:tcPr/>
          <w:p>
            <w:pPr>
              <w:pStyle w:val="Compact"/>
              <w:jc w:val="left"/>
            </w:pPr>
            <w:r>
              <w:t xml:space="preserve">320 hrs</w:t>
            </w:r>
          </w:p>
        </w:tc>
        <w:tc>
          <w:tcPr/>
          <w:p>
            <w:pPr>
              <w:pStyle w:val="Compact"/>
              <w:jc w:val="left"/>
            </w:pPr>
            <w:r>
              <w:t xml:space="preserve">$40,000.00</w:t>
            </w:r>
          </w:p>
        </w:tc>
      </w:tr>
      <w:tr>
        <w:tc>
          <w:tcPr/>
          <w:p>
            <w:pPr>
              <w:pStyle w:val="Compact"/>
              <w:jc w:val="left"/>
            </w:pPr>
            <w:r>
              <w:t xml:space="preserve">Cloud Infrastructure &amp; Licensing Fees</w:t>
            </w:r>
          </w:p>
        </w:tc>
        <w:tc>
          <w:tcPr/>
          <w:p>
            <w:pPr>
              <w:pStyle w:val="Compact"/>
              <w:jc w:val="left"/>
            </w:pPr>
            <w:r>
              <w:t xml:space="preserve">Flat</w:t>
            </w:r>
          </w:p>
        </w:tc>
        <w:tc>
          <w:tcPr/>
          <w:p>
            <w:pPr>
              <w:pStyle w:val="Compact"/>
              <w:jc w:val="left"/>
            </w:pPr>
            <w:r>
              <w:t xml:space="preserve">1</w:t>
            </w:r>
          </w:p>
        </w:tc>
        <w:tc>
          <w:tcPr/>
          <w:p>
            <w:pPr>
              <w:pStyle w:val="Compact"/>
              <w:jc w:val="left"/>
            </w:pPr>
            <w:r>
              <w:t xml:space="preserve">$22,500.00</w:t>
            </w:r>
          </w:p>
        </w:tc>
      </w:tr>
      <w:tr>
        <w:tc>
          <w:tcPr/>
          <w:p>
            <w:pPr>
              <w:pStyle w:val="Compact"/>
              <w:jc w:val="left"/>
            </w:pPr>
            <w:r>
              <w:t xml:space="preserve">Hardware Procurement &amp; Installation</w:t>
            </w:r>
          </w:p>
        </w:tc>
        <w:tc>
          <w:tcPr/>
          <w:p>
            <w:pPr>
              <w:pStyle w:val="Compact"/>
              <w:jc w:val="left"/>
            </w:pPr>
            <w:r>
              <w:t xml:space="preserve">Flat</w:t>
            </w:r>
          </w:p>
        </w:tc>
        <w:tc>
          <w:tcPr/>
          <w:p>
            <w:pPr>
              <w:pStyle w:val="Compact"/>
              <w:jc w:val="left"/>
            </w:pPr>
            <w:r>
              <w:t xml:space="preserve">1</w:t>
            </w:r>
          </w:p>
        </w:tc>
        <w:tc>
          <w:tcPr/>
          <w:p>
            <w:pPr>
              <w:pStyle w:val="Compact"/>
              <w:jc w:val="left"/>
            </w:pPr>
            <w:r>
              <w:t xml:space="preserve">$34,750.00</w:t>
            </w:r>
          </w:p>
        </w:tc>
      </w:tr>
      <w:tr>
        <w:tc>
          <w:tcPr/>
          <w:p>
            <w:pPr>
              <w:pStyle w:val="Compact"/>
              <w:jc w:val="left"/>
            </w:pPr>
            <w:r>
              <w:t xml:space="preserve">Security Compliance &amp; Audit Services</w:t>
            </w:r>
          </w:p>
        </w:tc>
        <w:tc>
          <w:tcPr/>
          <w:p>
            <w:pPr>
              <w:pStyle w:val="Compact"/>
              <w:jc w:val="left"/>
            </w:pPr>
            <w:r>
              <w:t xml:space="preserve">Flat</w:t>
            </w:r>
          </w:p>
        </w:tc>
        <w:tc>
          <w:tcPr/>
          <w:p>
            <w:pPr>
              <w:pStyle w:val="Compact"/>
              <w:jc w:val="left"/>
            </w:pPr>
            <w:r>
              <w:t xml:space="preserve">1</w:t>
            </w:r>
          </w:p>
        </w:tc>
        <w:tc>
          <w:tcPr/>
          <w:p>
            <w:pPr>
              <w:pStyle w:val="Compact"/>
              <w:jc w:val="left"/>
            </w:pPr>
            <w:r>
              <w:t xml:space="preserve">$12,000.00</w:t>
            </w:r>
          </w:p>
        </w:tc>
      </w:tr>
      <w:tr>
        <w:tc>
          <w:tcPr/>
          <w:p>
            <w:pPr>
              <w:pStyle w:val="Compact"/>
              <w:jc w:val="left"/>
            </w:pPr>
            <w:r>
              <w:t xml:space="preserve">Ongoing Monitoring &amp; Maintenance (12 months)</w:t>
            </w:r>
          </w:p>
        </w:tc>
        <w:tc>
          <w:tcPr/>
          <w:p>
            <w:pPr>
              <w:pStyle w:val="Compact"/>
              <w:jc w:val="left"/>
            </w:pPr>
            <w:r>
              <w:t xml:space="preserve">$6,800 / mo</w:t>
            </w:r>
          </w:p>
        </w:tc>
        <w:tc>
          <w:tcPr/>
          <w:p>
            <w:pPr>
              <w:pStyle w:val="Compact"/>
              <w:jc w:val="left"/>
            </w:pPr>
            <w:r>
              <w:t xml:space="preserve">12 mo</w:t>
            </w:r>
          </w:p>
        </w:tc>
        <w:tc>
          <w:tcPr/>
          <w:p>
            <w:pPr>
              <w:pStyle w:val="Compact"/>
              <w:jc w:val="left"/>
            </w:pPr>
            <w:r>
              <w:t xml:space="preserve">$81,600.00</w:t>
            </w:r>
          </w:p>
        </w:tc>
      </w:tr>
      <w:tr>
        <w:tc>
          <w:tcPr/>
          <w:p>
            <w:pPr>
              <w:pStyle w:val="Compact"/>
              <w:jc w:val="left"/>
            </w:pPr>
            <w:r>
              <w:t xml:space="preserve">Travel &amp; On-Site Presence (NYC Metro)</w:t>
            </w:r>
          </w:p>
        </w:tc>
        <w:tc>
          <w:tcPr/>
          <w:p>
            <w:pPr>
              <w:pStyle w:val="Compact"/>
              <w:jc w:val="left"/>
            </w:pPr>
            <w:r>
              <w:t xml:space="preserve">Flat</w:t>
            </w:r>
          </w:p>
        </w:tc>
        <w:tc>
          <w:tcPr/>
          <w:p>
            <w:pPr>
              <w:pStyle w:val="Compact"/>
              <w:jc w:val="left"/>
            </w:pPr>
            <w:r>
              <w:t xml:space="preserve">1</w:t>
            </w:r>
          </w:p>
        </w:tc>
        <w:tc>
          <w:tcPr/>
          <w:p>
            <w:pPr>
              <w:pStyle w:val="Compact"/>
              <w:jc w:val="left"/>
            </w:pPr>
            <w:r>
              <w:t xml:space="preserve">$4,200.00</w:t>
            </w:r>
          </w:p>
        </w:tc>
      </w:tr>
      <w:tr>
        <w:tc>
          <w:tcPr/>
          <w:p>
            <w:pPr>
              <w:pStyle w:val="Compact"/>
              <w:jc w:val="left"/>
            </w:pPr>
            <w:r>
              <w:t xml:space="preserve">Project Management &amp; Reporting</w:t>
            </w:r>
          </w:p>
        </w:tc>
        <w:tc>
          <w:tcPr/>
          <w:p>
            <w:pPr>
              <w:pStyle w:val="Compact"/>
              <w:jc w:val="left"/>
            </w:pPr>
            <w:r>
              <w:t xml:space="preserve">Flat</w:t>
            </w:r>
          </w:p>
        </w:tc>
        <w:tc>
          <w:tcPr/>
          <w:p>
            <w:pPr>
              <w:pStyle w:val="Compact"/>
              <w:jc w:val="left"/>
            </w:pPr>
            <w:r>
              <w:t xml:space="preserve">1</w:t>
            </w:r>
          </w:p>
        </w:tc>
        <w:tc>
          <w:tcPr/>
          <w:p>
            <w:pPr>
              <w:pStyle w:val="Compact"/>
              <w:jc w:val="left"/>
            </w:pPr>
            <w:r>
              <w:t xml:space="preserve">$9,500.00</w:t>
            </w:r>
          </w:p>
        </w:tc>
      </w:tr>
      <w:tr>
        <w:tc>
          <w:tcPr>
            <w:gridSpan w:val="3"/>
          </w:tcPr>
          <w:p>
            <w:pPr>
              <w:pStyle w:val="Compact"/>
              <w:jc w:val="left"/>
            </w:pPr>
            <w:r>
              <w:t xml:space="preserve">Subtotal (Pre-Tax)</w:t>
            </w:r>
          </w:p>
        </w:tc>
        <w:tc>
          <w:tcPr/>
          <w:p>
            <w:pPr>
              <w:pStyle w:val="Compact"/>
              <w:jc w:val="left"/>
            </w:pPr>
            <w:r>
              <w:t xml:space="preserve">$293,350.00</w:t>
            </w:r>
          </w:p>
        </w:tc>
      </w:tr>
      <w:tr>
        <w:tc>
          <w:tcPr>
            <w:gridSpan w:val="3"/>
          </w:tcPr>
          <w:p>
            <w:pPr>
              <w:pStyle w:val="Compact"/>
              <w:jc w:val="left"/>
            </w:pPr>
            <w:r>
              <w:t xml:space="preserve">NYC Sales &amp; Service Tax (8.875%)</w:t>
            </w:r>
          </w:p>
        </w:tc>
        <w:tc>
          <w:tcPr/>
          <w:p>
            <w:pPr>
              <w:pStyle w:val="Compact"/>
              <w:jc w:val="left"/>
            </w:pPr>
            <w:r>
              <w:t xml:space="preserve">$26,036.63</w:t>
            </w:r>
          </w:p>
        </w:tc>
      </w:tr>
      <w:tr>
        <w:tc>
          <w:tcPr>
            <w:gridSpan w:val="3"/>
          </w:tcPr>
          <w:p>
            <w:pPr>
              <w:pStyle w:val="Compact"/>
              <w:jc w:val="left"/>
            </w:pPr>
            <w:r>
              <w:rPr>
                <w:bCs/>
                <w:b/>
              </w:rPr>
              <w:t xml:space="preserve">TOTAL QUOTATION ESTIMATE AMOUNT</w:t>
            </w:r>
          </w:p>
        </w:tc>
        <w:tc>
          <w:tcPr/>
          <w:p>
            <w:pPr>
              <w:pStyle w:val="Compact"/>
              <w:jc w:val="left"/>
            </w:pPr>
            <w:r>
              <w:rPr>
                <w:bCs/>
                <w:b/>
              </w:rPr>
              <w:t xml:space="preserve">$319,386.63</w:t>
            </w:r>
          </w:p>
        </w:tc>
      </w:tr>
    </w:tbl>
    <w:bookmarkEnd w:id="23"/>
    <w:bookmarkStart w:id="24" w:name="payment-terms-and-schedule"/>
    <w:p>
      <w:pPr>
        <w:pStyle w:val="Heading2"/>
      </w:pPr>
      <w:r>
        <w:t xml:space="preserve">4. Payment Terms and Schedule</w:t>
      </w:r>
    </w:p>
    <w:p>
      <w:pPr>
        <w:pStyle w:val="FirstParagraph"/>
      </w:pPr>
      <w:r>
        <w:t xml:space="preserve">Payment for this Quotation Estimate shall be structured as follows: 25% upon execution of the service agreement, 25% upon completion of the infrastructure assessment and architecture design phase, 25% upon successful system implementation and cloud migration, and the remaining 25% distributed monthly across the 12-month ongoing maintenance period. All invoices are payable within thirty (30) days of receipt. Late payments shall accrue interest at 1.5% per month in accordance with New York State commercial code provisions.</w:t>
      </w:r>
    </w:p>
    <w:bookmarkEnd w:id="24"/>
    <w:bookmarkStart w:id="25" w:name="assumptions-and-exclusions"/>
    <w:p>
      <w:pPr>
        <w:pStyle w:val="Heading2"/>
      </w:pPr>
      <w:r>
        <w:t xml:space="preserve">5. Assumptions and Exclusions</w:t>
      </w:r>
    </w:p>
    <w:p>
      <w:pPr>
        <w:pStyle w:val="FirstParagraph"/>
      </w:pPr>
      <w:r>
        <w:t xml:space="preserve">This Quotation Estimate assumes that the client will provide timely access to all United States New York City facilities, existing documentation, and administrative credentials required for the Systems Engineer to perform the outlined work. This estimate does not include the cost of third-party software licenses not explicitly listed, hardware refresh cycles beyond the initial procurement, or emergency after-hours response beyond the standard 24/7 monitoring SLA. Any scope changes exceeding 10% of the original Quotation Estimate will require a formal change order and revised pricing.</w:t>
      </w:r>
    </w:p>
    <w:bookmarkEnd w:id="25"/>
    <w:bookmarkStart w:id="26" w:name="terms-and-conditions"/>
    <w:p>
      <w:pPr>
        <w:pStyle w:val="Heading2"/>
      </w:pPr>
      <w:r>
        <w:t xml:space="preserve">6. Terms and Conditions</w:t>
      </w:r>
    </w:p>
    <w:p>
      <w:pPr>
        <w:pStyle w:val="FirstParagraph"/>
      </w:pPr>
      <w:r>
        <w:rPr>
          <w:bCs/>
          <w:b/>
        </w:rPr>
        <w:t xml:space="preserve">Validity:</w:t>
      </w:r>
      <w:r>
        <w:t xml:space="preserve"> </w:t>
      </w:r>
      <w:r>
        <w:t xml:space="preserve">This Quotation Estimate is valid for thirty (30) calendar days from the date of issue. After this period, pricing may be adjusted to reflect market conditions in the United States New York City technology services sector.</w:t>
      </w:r>
    </w:p>
    <w:p>
      <w:pPr>
        <w:pStyle w:val="BodyText"/>
      </w:pPr>
      <w:r>
        <w:rPr>
          <w:bCs/>
          <w:b/>
        </w:rPr>
        <w:t xml:space="preserve">Confidentiality:</w:t>
      </w:r>
      <w:r>
        <w:t xml:space="preserve"> </w:t>
      </w:r>
      <w:r>
        <w:t xml:space="preserve">All information exchanged during the engagement of the Systems Engineer shall be treated as strictly confidential and protected under a mutual Non-Disclosure Agreement (NDA) executed prior to commencement of work.</w:t>
      </w:r>
    </w:p>
    <w:p>
      <w:pPr>
        <w:pStyle w:val="BodyText"/>
      </w:pPr>
      <w:r>
        <w:rPr>
          <w:bCs/>
          <w:b/>
        </w:rPr>
        <w:t xml:space="preserve">Compliance:</w:t>
      </w:r>
      <w:r>
        <w:t xml:space="preserve"> </w:t>
      </w:r>
      <w:r>
        <w:t xml:space="preserve">The Systems Engineer and all supporting personnel shall comply with all applicable federal, New York State, and New York City regulations, including but not limited to NYDFS cybersecurity regulations, NYC Local Law 144 (Data Breach Notification), and OSHA workplace safety standards.</w:t>
      </w:r>
    </w:p>
    <w:p>
      <w:pPr>
        <w:pStyle w:val="BodyText"/>
      </w:pPr>
      <w:r>
        <w:rPr>
          <w:bCs/>
          <w:b/>
        </w:rPr>
        <w:t xml:space="preserve">Warranty:</w:t>
      </w:r>
      <w:r>
        <w:t xml:space="preserve"> </w:t>
      </w:r>
      <w:r>
        <w:t xml:space="preserve">All implementation work performed by the Systems Engineer carries a 90-day defect warranty from the date of final acceptance. Ongoing maintenance services are governed by a 99.9% uptime Service Level Agreement (SLA).</w:t>
      </w:r>
    </w:p>
    <w:p>
      <w:pPr>
        <w:pStyle w:val="BodyText"/>
      </w:pPr>
      <w:r>
        <w:rPr>
          <w:bCs/>
          <w:b/>
        </w:rPr>
        <w:t xml:space="preserve">Governing Law:</w:t>
      </w:r>
      <w:r>
        <w:t xml:space="preserve"> </w:t>
      </w:r>
      <w:r>
        <w:t xml:space="preserve">This Quotation Estimate and any resulting service agreement shall be governed by and construed in accordance with the laws of the State of New York, with jurisdiction in the New York County (Manhattan) courts.</w:t>
      </w:r>
    </w:p>
    <w:bookmarkEnd w:id="26"/>
    <w:bookmarkStart w:id="27" w:name="acceptance-and-authorization"/>
    <w:p>
      <w:pPr>
        <w:pStyle w:val="Heading2"/>
      </w:pPr>
      <w:r>
        <w:t xml:space="preserve">7. Acceptance and Authorization</w:t>
      </w:r>
    </w:p>
    <w:p>
      <w:pPr>
        <w:pStyle w:val="FirstParagraph"/>
      </w:pPr>
      <w:r>
        <w:t xml:space="preserve">By signing below, the client acknowledges receipt of this Quotation Estimate, confirms that the scope of work, pricing, and terms are acceptable, and authorizes Meridian Technical Solutions LLC to proceed with the engagement of the Systems Engineer as described herein. This signature constitutes a binding commitment to the financial obligations outlined in this document.</w:t>
      </w:r>
    </w:p>
    <w:p>
      <w:pPr>
        <w:pStyle w:val="BodyText"/>
      </w:pPr>
      <w:r>
        <w:rPr>
          <w:bCs/>
          <w:b/>
        </w:rPr>
        <w:t xml:space="preserve">Client Authorized Representative</w:t>
      </w:r>
      <w:r>
        <w:br/>
      </w:r>
      <w:r>
        <w:t xml:space="preserve">Name / Title / Date</w:t>
      </w:r>
    </w:p>
    <w:p>
      <w:pPr>
        <w:pStyle w:val="BodyText"/>
      </w:pPr>
      <w:r>
        <w:rPr>
          <w:bCs/>
          <w:b/>
        </w:rPr>
        <w:t xml:space="preserve">Meridian Technical Solutions LLC</w:t>
      </w:r>
      <w:r>
        <w:br/>
      </w:r>
      <w:r>
        <w:t xml:space="preserve">Name / Title / Date</w:t>
      </w:r>
    </w:p>
    <w:p>
      <w:pPr>
        <w:pStyle w:val="BodyText"/>
      </w:pPr>
      <w:r>
        <w:t xml:space="preserve">© 2025 Meridian Technical Solutions LLC — 350 Fifth Avenue, Suite 4200, New York, NY 10118 — All Rights Reserved.</w:t>
      </w:r>
      <w:r>
        <w:br/>
      </w:r>
      <w:r>
        <w:t xml:space="preserve">This Quotation Estimate is a commercial document and does not constitute a final contract until countersigned by both parties.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Systems Engineer - United States New York City</dc:title>
  <dc:creator/>
  <dc:language>en</dc:language>
  <cp:keywords/>
  <dcterms:created xsi:type="dcterms:W3CDTF">2026-10-10T05:09:20Z</dcterms:created>
  <dcterms:modified xsi:type="dcterms:W3CDTF">2026-10-10T05:09:20Z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