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Services — Systems Engineer Engagement</w:t>
      </w:r>
    </w:p>
    <w:p>
      <w:pPr>
        <w:pStyle w:val="BodyText"/>
      </w:pPr>
      <w:r>
        <w:t xml:space="preserve">United States San Francisco, California</w:t>
      </w:r>
    </w:p>
    <w:bookmarkEnd w:id="20"/>
    <w:p>
      <w:pPr>
        <w:pStyle w:val="BodyText"/>
      </w:pPr>
      <w:r>
        <w:rPr>
          <w:bCs/>
          <w:b/>
        </w:rPr>
        <w:t xml:space="preserve">Quotation No.:</w:t>
      </w:r>
      <w:r>
        <w:t xml:space="preserve"> </w:t>
      </w:r>
      <w:r>
        <w:t xml:space="preserve">QTE-SF-2025-04782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Meridian Technical Solutions LLC</w:t>
      </w:r>
      <w:r>
        <w:br/>
      </w:r>
      <w:r>
        <w:rPr>
          <w:bCs/>
          <w:b/>
        </w:rPr>
        <w:t xml:space="preserve">Address:</w:t>
      </w:r>
      <w:r>
        <w:t xml:space="preserve"> </w:t>
      </w:r>
      <w:r>
        <w:t xml:space="preserve">1455 Market Street, Suite 2200</w:t>
      </w:r>
      <w:r>
        <w:br/>
      </w:r>
      <w:r>
        <w:t xml:space="preserve">San Francisco, CA 94103, United States</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is issued by Meridian Technical Solutions LLC to provide a comprehensive, itemized cost breakdown for the engagement of a senior</w:t>
      </w:r>
      <w:r>
        <w:t xml:space="preserve"> </w:t>
      </w:r>
      <w:r>
        <w:t xml:space="preserve">Systems Engineer</w:t>
      </w:r>
      <w:r>
        <w:t xml:space="preserve"> </w:t>
      </w:r>
      <w:r>
        <w:t xml:space="preserve">to support infrastructure architecture, deployment, and ongoing operational maintenance for the client's enterprise technology environment. This engagement is specifically scoped for delivery within the</w:t>
      </w:r>
      <w:r>
        <w:t xml:space="preserve"> </w:t>
      </w:r>
      <w:r>
        <w:t xml:space="preserve">United States San Francisco</w:t>
      </w:r>
      <w:r>
        <w:t xml:space="preserve"> </w:t>
      </w:r>
      <w:r>
        <w:t xml:space="preserve">metropolitan area, where the Systems Engineer will operate on-site at the client's headquarters located in the SoMa district, with the option for hybrid remote work as mutually agreed upon.</w:t>
      </w:r>
    </w:p>
    <w:p>
      <w:pPr>
        <w:pStyle w:val="BodyText"/>
      </w:pPr>
      <w:r>
        <w:t xml:space="preserve">The purpose of this Quotation Estimate is to establish transparent pricing, define the boundaries of professional services rendered, and outline the terms under which the Systems Engineer will be deployed. All figures presented herein are denominated in United States Dollars (USD) and reflect current market rates for qualified Systems Engineer professionals operating in the San Francisco technology corridor as of the second quarter of 2025.</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Company</w:t>
            </w:r>
          </w:p>
        </w:tc>
        <w:tc>
          <w:tcPr/>
          <w:p>
            <w:pPr>
              <w:pStyle w:val="Compact"/>
              <w:jc w:val="left"/>
            </w:pPr>
            <w:r>
              <w:t xml:space="preserve">Apex Digital Infrastructure Corp.</w:t>
            </w:r>
          </w:p>
        </w:tc>
      </w:tr>
      <w:tr>
        <w:tc>
          <w:tcPr/>
          <w:p>
            <w:pPr>
              <w:pStyle w:val="Compact"/>
              <w:jc w:val="left"/>
            </w:pPr>
            <w:r>
              <w:t xml:space="preserve">Client Address</w:t>
            </w:r>
          </w:p>
        </w:tc>
        <w:tc>
          <w:tcPr/>
          <w:p>
            <w:pPr>
              <w:pStyle w:val="Compact"/>
              <w:jc w:val="left"/>
            </w:pPr>
            <w:r>
              <w:t xml:space="preserve">77 5th Street, Floor 14, San Francisco, CA 94103, United States</w:t>
            </w:r>
          </w:p>
        </w:tc>
      </w:tr>
      <w:tr>
        <w:tc>
          <w:tcPr/>
          <w:p>
            <w:pPr>
              <w:pStyle w:val="Compact"/>
              <w:jc w:val="left"/>
            </w:pPr>
            <w:r>
              <w:t xml:space="preserve">Primary Contact</w:t>
            </w:r>
          </w:p>
        </w:tc>
        <w:tc>
          <w:tcPr/>
          <w:p>
            <w:pPr>
              <w:pStyle w:val="Compact"/>
              <w:jc w:val="left"/>
            </w:pPr>
            <w:r>
              <w:t xml:space="preserve">Dr. Elena Vasquez, VP of Technology Operations</w:t>
            </w:r>
          </w:p>
        </w:tc>
      </w:tr>
      <w:tr>
        <w:tc>
          <w:tcPr/>
          <w:p>
            <w:pPr>
              <w:pStyle w:val="Compact"/>
              <w:jc w:val="left"/>
            </w:pPr>
            <w:r>
              <w:t xml:space="preserve">Project Reference</w:t>
            </w:r>
          </w:p>
        </w:tc>
        <w:tc>
          <w:tcPr/>
          <w:p>
            <w:pPr>
              <w:pStyle w:val="Compact"/>
              <w:jc w:val="left"/>
            </w:pPr>
            <w:r>
              <w:t xml:space="preserve">ADIC-2025-INFRA-REBUILD</w:t>
            </w:r>
          </w:p>
        </w:tc>
      </w:tr>
    </w:tbl>
    <w:bookmarkEnd w:id="22"/>
    <w:bookmarkStart w:id="23" w:name="scope-of-services-systems-engineer-role"/>
    <w:p>
      <w:pPr>
        <w:pStyle w:val="Heading2"/>
      </w:pPr>
      <w:r>
        <w:t xml:space="preserve">3. Scope of Services — Systems Engineer Role</w:t>
      </w:r>
    </w:p>
    <w:p>
      <w:pPr>
        <w:pStyle w:val="FirstParagraph"/>
      </w:pPr>
      <w:r>
        <w:t xml:space="preserve">The</w:t>
      </w:r>
      <w:r>
        <w:t xml:space="preserve"> </w:t>
      </w:r>
      <w:r>
        <w:t xml:space="preserve">Systems Engineer</w:t>
      </w:r>
      <w:r>
        <w:t xml:space="preserve"> </w:t>
      </w:r>
      <w:r>
        <w:t xml:space="preserve">engaged under this Quotation Estimate will be responsible for the following core deliverables and ongoing responsibilities within the United States San Francisco operational environment:</w:t>
      </w:r>
    </w:p>
    <w:p>
      <w:pPr>
        <w:numPr>
          <w:ilvl w:val="0"/>
          <w:numId w:val="1001"/>
        </w:numPr>
        <w:pStyle w:val="Compact"/>
      </w:pPr>
      <w:r>
        <w:rPr>
          <w:bCs/>
          <w:b/>
        </w:rPr>
        <w:t xml:space="preserve">Infrastructure Architecture Design:</w:t>
      </w:r>
      <w:r>
        <w:t xml:space="preserve"> </w:t>
      </w:r>
      <w:r>
        <w:t xml:space="preserve">Designing, documenting, and implementing scalable server architectures, network topologies, and cloud-hybrid integration frameworks tailored to the client's growth projections.</w:t>
      </w:r>
    </w:p>
    <w:p>
      <w:pPr>
        <w:numPr>
          <w:ilvl w:val="0"/>
          <w:numId w:val="1001"/>
        </w:numPr>
        <w:pStyle w:val="Compact"/>
      </w:pPr>
      <w:r>
        <w:rPr>
          <w:bCs/>
          <w:b/>
        </w:rPr>
        <w:t xml:space="preserve">System Deployment and Migration:</w:t>
      </w:r>
      <w:r>
        <w:t xml:space="preserve"> </w:t>
      </w:r>
      <w:r>
        <w:t xml:space="preserve">Leading the migration of legacy on-premises workloads to a hybrid cloud environment (AWS and Azure), ensuring zero-downtime cutover strategies are executed within the San Francisco data center and associated cloud regions.</w:t>
      </w:r>
    </w:p>
    <w:p>
      <w:pPr>
        <w:numPr>
          <w:ilvl w:val="0"/>
          <w:numId w:val="1001"/>
        </w:numPr>
        <w:pStyle w:val="Compact"/>
      </w:pPr>
      <w:r>
        <w:rPr>
          <w:bCs/>
          <w:b/>
        </w:rPr>
        <w:t xml:space="preserve">Performance Optimization:</w:t>
      </w:r>
      <w:r>
        <w:t xml:space="preserve"> </w:t>
      </w:r>
      <w:r>
        <w:t xml:space="preserve">Conducting quarterly performance audits of all production systems, identifying bottlenecks, and implementing tuning strategies to maintain 99.95% uptime SLAs.</w:t>
      </w:r>
    </w:p>
    <w:p>
      <w:pPr>
        <w:numPr>
          <w:ilvl w:val="0"/>
          <w:numId w:val="1001"/>
        </w:numPr>
        <w:pStyle w:val="Compact"/>
      </w:pPr>
      <w:r>
        <w:rPr>
          <w:bCs/>
          <w:b/>
        </w:rPr>
        <w:t xml:space="preserve">Security Hardening and Compliance:</w:t>
      </w:r>
      <w:r>
        <w:t xml:space="preserve"> </w:t>
      </w:r>
      <w:r>
        <w:t xml:space="preserve">Ensuring all systems comply with California state data privacy regulations (CCPA/CPRA), federal NIST 800-53 standards, and industry-specific compliance frameworks applicable to the client's sector.</w:t>
      </w:r>
    </w:p>
    <w:p>
      <w:pPr>
        <w:numPr>
          <w:ilvl w:val="0"/>
          <w:numId w:val="1001"/>
        </w:numPr>
        <w:pStyle w:val="Compact"/>
      </w:pPr>
      <w:r>
        <w:rPr>
          <w:bCs/>
          <w:b/>
        </w:rPr>
        <w:t xml:space="preserve">Disaster Recovery Planning:</w:t>
      </w:r>
      <w:r>
        <w:t xml:space="preserve"> </w:t>
      </w:r>
      <w:r>
        <w:t xml:space="preserve">Developing and testing comprehensive disaster recovery and business continuity plans, including failover procedures between the primary San Francisco site and the secondary data center in the Bay Area.</w:t>
      </w:r>
    </w:p>
    <w:p>
      <w:pPr>
        <w:numPr>
          <w:ilvl w:val="0"/>
          <w:numId w:val="1001"/>
        </w:numPr>
        <w:pStyle w:val="Compact"/>
      </w:pPr>
      <w:r>
        <w:rPr>
          <w:bCs/>
          <w:b/>
        </w:rPr>
        <w:t xml:space="preserve">Vendor and Stakeholder Coordination:</w:t>
      </w:r>
      <w:r>
        <w:t xml:space="preserve"> </w:t>
      </w:r>
      <w:r>
        <w:t xml:space="preserve">Serving as the technical liaison between the client's internal teams, third-party hosting providers, and hardware vendors operating in the United States San Francisco market.</w:t>
      </w:r>
    </w:p>
    <w:p>
      <w:pPr>
        <w:numPr>
          <w:ilvl w:val="0"/>
          <w:numId w:val="1001"/>
        </w:numPr>
        <w:pStyle w:val="Compact"/>
      </w:pPr>
      <w:r>
        <w:rPr>
          <w:bCs/>
          <w:b/>
        </w:rPr>
        <w:t xml:space="preserve">Documentation and Knowledge Transfer:</w:t>
      </w:r>
      <w:r>
        <w:t xml:space="preserve"> </w:t>
      </w:r>
      <w:r>
        <w:t xml:space="preserve">Producing detailed runbooks, architecture decision records, and training materials to ensure organizational knowledge retention.</w:t>
      </w:r>
    </w:p>
    <w:bookmarkEnd w:id="23"/>
    <w:bookmarkStart w:id="24" w:name="Xe0d855c7c597480bbf70fab7c81f89c20a8fc33"/>
    <w:p>
      <w:pPr>
        <w:pStyle w:val="Heading2"/>
      </w:pPr>
      <w:r>
        <w:t xml:space="preserve">4. Quotation Estimate — Itemized Cost Breakdown</w:t>
      </w:r>
    </w:p>
    <w:p>
      <w:pPr>
        <w:pStyle w:val="FirstParagraph"/>
      </w:pPr>
      <w:r>
        <w:t xml:space="preserve">The following table constitutes the formal pricing component of this Quotation Estimate. Rates reflect the prevailing market compensation for a senior Systems Engineer with a minimum of ten years of experience in the United States San Francisco technology sector, inclusive of all applicable California state payroll taxes and employer-mandated benefits.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1.0</w:t>
            </w:r>
          </w:p>
        </w:tc>
        <w:tc>
          <w:tcPr/>
          <w:p>
            <w:pPr>
              <w:pStyle w:val="Compact"/>
              <w:jc w:val="left"/>
            </w:pPr>
            <w:r>
              <w:t xml:space="preserve">Systems Engineer — Senior (On-Site, San Francisco)</w:t>
            </w:r>
          </w:p>
        </w:tc>
        <w:tc>
          <w:tcPr/>
          <w:p>
            <w:pPr>
              <w:pStyle w:val="Compact"/>
              <w:jc w:val="left"/>
            </w:pPr>
            <w:r>
              <w:t xml:space="preserve">12 months</w:t>
            </w:r>
          </w:p>
        </w:tc>
        <w:tc>
          <w:tcPr/>
          <w:p>
            <w:pPr>
              <w:pStyle w:val="Compact"/>
              <w:jc w:val="left"/>
            </w:pPr>
            <w:r>
              <w:t xml:space="preserve">$145,000 / yr</w:t>
            </w:r>
          </w:p>
        </w:tc>
        <w:tc>
          <w:tcPr/>
          <w:p>
            <w:pPr>
              <w:pStyle w:val="Compact"/>
              <w:jc w:val="left"/>
            </w:pPr>
            <w:r>
              <w:t xml:space="preserve">$145,000.00</w:t>
            </w:r>
          </w:p>
        </w:tc>
      </w:tr>
      <w:tr>
        <w:tc>
          <w:tcPr/>
          <w:p>
            <w:pPr>
              <w:pStyle w:val="Compact"/>
              <w:jc w:val="left"/>
            </w:pPr>
            <w:r>
              <w:t xml:space="preserve">2.0</w:t>
            </w:r>
          </w:p>
        </w:tc>
        <w:tc>
          <w:tcPr/>
          <w:p>
            <w:pPr>
              <w:pStyle w:val="Compact"/>
              <w:jc w:val="left"/>
            </w:pPr>
            <w:r>
              <w:t xml:space="preserve">Systems Engineer — Mid-Level (Hybrid, SF Bay Area)</w:t>
            </w:r>
          </w:p>
        </w:tc>
        <w:tc>
          <w:tcPr/>
          <w:p>
            <w:pPr>
              <w:pStyle w:val="Compact"/>
              <w:jc w:val="left"/>
            </w:pPr>
            <w:r>
              <w:t xml:space="preserve">12 months</w:t>
            </w:r>
          </w:p>
        </w:tc>
        <w:tc>
          <w:tcPr/>
          <w:p>
            <w:pPr>
              <w:pStyle w:val="Compact"/>
              <w:jc w:val="left"/>
            </w:pPr>
            <w:r>
              <w:t xml:space="preserve">$112,000 / yr</w:t>
            </w:r>
          </w:p>
        </w:tc>
        <w:tc>
          <w:tcPr/>
          <w:p>
            <w:pPr>
              <w:pStyle w:val="Compact"/>
              <w:jc w:val="left"/>
            </w:pPr>
            <w:r>
              <w:t xml:space="preserve">$112,000.00</w:t>
            </w:r>
          </w:p>
        </w:tc>
      </w:tr>
      <w:tr>
        <w:tc>
          <w:tcPr/>
          <w:p>
            <w:pPr>
              <w:pStyle w:val="Compact"/>
              <w:jc w:val="left"/>
            </w:pPr>
            <w:r>
              <w:t xml:space="preserve">3.0</w:t>
            </w:r>
          </w:p>
        </w:tc>
        <w:tc>
          <w:tcPr/>
          <w:p>
            <w:pPr>
              <w:pStyle w:val="Compact"/>
              <w:jc w:val="left"/>
            </w:pPr>
            <w:r>
              <w:t xml:space="preserve">Infrastructure Licensing &amp; Tooling (Ansible, Terraform, Datadog, etc.)</w:t>
            </w:r>
          </w:p>
        </w:tc>
        <w:tc>
          <w:tcPr/>
          <w:p>
            <w:pPr>
              <w:pStyle w:val="Compact"/>
              <w:jc w:val="left"/>
            </w:pPr>
            <w:r>
              <w:t xml:space="preserve">12 months</w:t>
            </w:r>
          </w:p>
        </w:tc>
        <w:tc>
          <w:tcPr/>
          <w:p>
            <w:pPr>
              <w:pStyle w:val="Compact"/>
              <w:jc w:val="left"/>
            </w:pPr>
            <w:r>
              <w:t xml:space="preserve">$18,500 / yr</w:t>
            </w:r>
          </w:p>
        </w:tc>
        <w:tc>
          <w:tcPr/>
          <w:p>
            <w:pPr>
              <w:pStyle w:val="Compact"/>
              <w:jc w:val="left"/>
            </w:pPr>
            <w:r>
              <w:t xml:space="preserve">$18,500.00</w:t>
            </w:r>
          </w:p>
        </w:tc>
      </w:tr>
      <w:tr>
        <w:tc>
          <w:tcPr/>
          <w:p>
            <w:pPr>
              <w:pStyle w:val="Compact"/>
              <w:jc w:val="left"/>
            </w:pPr>
            <w:r>
              <w:t xml:space="preserve">4.0</w:t>
            </w:r>
          </w:p>
        </w:tc>
        <w:tc>
          <w:tcPr/>
          <w:p>
            <w:pPr>
              <w:pStyle w:val="Compact"/>
              <w:jc w:val="left"/>
            </w:pPr>
            <w:r>
              <w:t xml:space="preserve">Cloud Infrastructure Allocation (AWS + Azure reserved instances)</w:t>
            </w:r>
          </w:p>
        </w:tc>
        <w:tc>
          <w:tcPr/>
          <w:p>
            <w:pPr>
              <w:pStyle w:val="Compact"/>
              <w:jc w:val="left"/>
            </w:pPr>
            <w:r>
              <w:t xml:space="preserve">12 months</w:t>
            </w:r>
          </w:p>
        </w:tc>
        <w:tc>
          <w:tcPr/>
          <w:p>
            <w:pPr>
              <w:pStyle w:val="Compact"/>
              <w:jc w:val="left"/>
            </w:pPr>
            <w:r>
              <w:t xml:space="preserve">$96,000 / yr</w:t>
            </w:r>
          </w:p>
        </w:tc>
        <w:tc>
          <w:tcPr/>
          <w:p>
            <w:pPr>
              <w:pStyle w:val="Compact"/>
              <w:jc w:val="left"/>
            </w:pPr>
            <w:r>
              <w:t xml:space="preserve">$96,000.00</w:t>
            </w:r>
          </w:p>
        </w:tc>
      </w:tr>
      <w:tr>
        <w:tc>
          <w:tcPr/>
          <w:p>
            <w:pPr>
              <w:pStyle w:val="Compact"/>
              <w:jc w:val="left"/>
            </w:pPr>
            <w:r>
              <w:t xml:space="preserve">5.0</w:t>
            </w:r>
          </w:p>
        </w:tc>
        <w:tc>
          <w:tcPr/>
          <w:p>
            <w:pPr>
              <w:pStyle w:val="Compact"/>
              <w:jc w:val="left"/>
            </w:pPr>
            <w:r>
              <w:t xml:space="preserve">Project Management &amp; Oversight (dedicated PM, SF-based)</w:t>
            </w:r>
          </w:p>
        </w:tc>
        <w:tc>
          <w:tcPr/>
          <w:p>
            <w:pPr>
              <w:pStyle w:val="Compact"/>
              <w:jc w:val="left"/>
            </w:pPr>
            <w:r>
              <w:t xml:space="preserve">12 months</w:t>
            </w:r>
          </w:p>
        </w:tc>
        <w:tc>
          <w:tcPr/>
          <w:p>
            <w:pPr>
              <w:pStyle w:val="Compact"/>
              <w:jc w:val="left"/>
            </w:pPr>
            <w:r>
              <w:t xml:space="preserve">$78,000 / yr</w:t>
            </w:r>
          </w:p>
        </w:tc>
        <w:tc>
          <w:tcPr/>
          <w:p>
            <w:pPr>
              <w:pStyle w:val="Compact"/>
              <w:jc w:val="left"/>
            </w:pPr>
            <w:r>
              <w:t xml:space="preserve">$78,000.00</w:t>
            </w:r>
          </w:p>
        </w:tc>
      </w:tr>
      <w:tr>
        <w:tc>
          <w:tcPr/>
          <w:p>
            <w:pPr>
              <w:pStyle w:val="Compact"/>
              <w:jc w:val="left"/>
            </w:pPr>
            <w:r>
              <w:t xml:space="preserve">6.0</w:t>
            </w:r>
          </w:p>
        </w:tc>
        <w:tc>
          <w:tcPr/>
          <w:p>
            <w:pPr>
              <w:pStyle w:val="Compact"/>
              <w:jc w:val="left"/>
            </w:pPr>
            <w:r>
              <w:t xml:space="preserve">Emergency Response &amp; After-Hours On-Call (San Francisco coverage)</w:t>
            </w:r>
          </w:p>
        </w:tc>
        <w:tc>
          <w:tcPr/>
          <w:p>
            <w:pPr>
              <w:pStyle w:val="Compact"/>
              <w:jc w:val="left"/>
            </w:pPr>
            <w:r>
              <w:t xml:space="preserve">12 months</w:t>
            </w:r>
          </w:p>
        </w:tc>
        <w:tc>
          <w:tcPr/>
          <w:p>
            <w:pPr>
              <w:pStyle w:val="Compact"/>
              <w:jc w:val="left"/>
            </w:pPr>
            <w:r>
              <w:t xml:space="preserve">$22,000 / yr</w:t>
            </w:r>
          </w:p>
        </w:tc>
        <w:tc>
          <w:tcPr/>
          <w:p>
            <w:pPr>
              <w:pStyle w:val="Compact"/>
              <w:jc w:val="left"/>
            </w:pPr>
            <w:r>
              <w:t xml:space="preserve">$22,000.00</w:t>
            </w:r>
          </w:p>
        </w:tc>
      </w:tr>
      <w:tr>
        <w:tc>
          <w:tcPr/>
          <w:p>
            <w:pPr>
              <w:pStyle w:val="Compact"/>
              <w:jc w:val="left"/>
            </w:pPr>
            <w:r>
              <w:t xml:space="preserve">7.0</w:t>
            </w:r>
          </w:p>
        </w:tc>
        <w:tc>
          <w:tcPr/>
          <w:p>
            <w:pPr>
              <w:pStyle w:val="Compact"/>
              <w:jc w:val="left"/>
            </w:pPr>
            <w:r>
              <w:t xml:space="preserve">Travel &amp; Local Transportation (within SF Bay Area)</w:t>
            </w:r>
          </w:p>
        </w:tc>
        <w:tc>
          <w:tcPr/>
          <w:p>
            <w:pPr>
              <w:pStyle w:val="Compact"/>
              <w:jc w:val="left"/>
            </w:pPr>
            <w:r>
              <w:t xml:space="preserve">12 months</w:t>
            </w:r>
          </w:p>
        </w:tc>
        <w:tc>
          <w:tcPr/>
          <w:p>
            <w:pPr>
              <w:pStyle w:val="Compact"/>
              <w:jc w:val="left"/>
            </w:pPr>
            <w:r>
              <w:t xml:space="preserve">$6,500 / yr</w:t>
            </w:r>
          </w:p>
        </w:tc>
        <w:tc>
          <w:tcPr/>
          <w:p>
            <w:pPr>
              <w:pStyle w:val="Compact"/>
              <w:jc w:val="left"/>
            </w:pPr>
            <w:r>
              <w:t xml:space="preserve">$6,500.00</w:t>
            </w:r>
          </w:p>
        </w:tc>
      </w:tr>
      <w:tr>
        <w:tc>
          <w:tcPr/>
          <w:p>
            <w:pPr>
              <w:pStyle w:val="Compact"/>
              <w:jc w:val="left"/>
            </w:pPr>
            <w:r>
              <w:t xml:space="preserve">8.0</w:t>
            </w:r>
          </w:p>
        </w:tc>
        <w:tc>
          <w:tcPr/>
          <w:p>
            <w:pPr>
              <w:pStyle w:val="Compact"/>
              <w:jc w:val="left"/>
            </w:pPr>
            <w:r>
              <w:t xml:space="preserve">Professional Liability &amp; Cyber Insurance (CA-compliant)</w:t>
            </w:r>
          </w:p>
        </w:tc>
        <w:tc>
          <w:tcPr/>
          <w:p>
            <w:pPr>
              <w:pStyle w:val="Compact"/>
              <w:jc w:val="left"/>
            </w:pPr>
            <w:r>
              <w:t xml:space="preserve">12 months</w:t>
            </w:r>
          </w:p>
        </w:tc>
        <w:tc>
          <w:tcPr/>
          <w:p>
            <w:pPr>
              <w:pStyle w:val="Compact"/>
              <w:jc w:val="left"/>
            </w:pPr>
            <w:r>
              <w:t xml:space="preserve">$14,000 / yr</w:t>
            </w:r>
          </w:p>
        </w:tc>
        <w:tc>
          <w:tcPr/>
          <w:p>
            <w:pPr>
              <w:pStyle w:val="Compact"/>
              <w:jc w:val="left"/>
            </w:pPr>
            <w:r>
              <w:t xml:space="preserve">$14,000.00</w:t>
            </w:r>
          </w:p>
        </w:tc>
      </w:tr>
      <w:tr>
        <w:tc>
          <w:tcPr>
            <w:gridSpan w:val="4"/>
          </w:tcPr>
          <w:p>
            <w:pPr>
              <w:pStyle w:val="Compact"/>
              <w:jc w:val="right"/>
            </w:pPr>
            <w:r>
              <w:t xml:space="preserve">TOTAL ANNUAL ESTIMATE (before tax)</w:t>
            </w:r>
          </w:p>
        </w:tc>
        <w:tc>
          <w:tcPr/>
          <w:p>
            <w:pPr>
              <w:pStyle w:val="Compact"/>
              <w:jc w:val="left"/>
            </w:pPr>
            <w:r>
              <w:t xml:space="preserve">$492,000.00</w:t>
            </w:r>
          </w:p>
        </w:tc>
      </w:tr>
      <w:tr>
        <w:tc>
          <w:tcPr>
            <w:gridSpan w:val="4"/>
          </w:tcPr>
          <w:p>
            <w:pPr>
              <w:pStyle w:val="Compact"/>
              <w:jc w:val="right"/>
            </w:pPr>
            <w:r>
              <w:t xml:space="preserve">California State Sales &amp; Use Tax (8.63%)</w:t>
            </w:r>
          </w:p>
        </w:tc>
        <w:tc>
          <w:tcPr/>
          <w:p>
            <w:pPr>
              <w:pStyle w:val="Compact"/>
              <w:jc w:val="left"/>
            </w:pPr>
            <w:r>
              <w:t xml:space="preserve">$42,459.60</w:t>
            </w:r>
          </w:p>
        </w:tc>
      </w:tr>
      <w:tr>
        <w:tc>
          <w:tcPr>
            <w:gridSpan w:val="4"/>
          </w:tcPr>
          <w:p>
            <w:pPr>
              <w:pStyle w:val="Compact"/>
              <w:jc w:val="right"/>
            </w:pPr>
            <w:r>
              <w:t xml:space="preserve">GRAND TOTAL (USD)</w:t>
            </w:r>
          </w:p>
        </w:tc>
        <w:tc>
          <w:tcPr/>
          <w:p>
            <w:pPr>
              <w:pStyle w:val="Compact"/>
              <w:jc w:val="left"/>
            </w:pPr>
            <w:r>
              <w:t xml:space="preserve">$534,459.60</w:t>
            </w:r>
          </w:p>
        </w:tc>
      </w:tr>
    </w:tbl>
    <w:bookmarkEnd w:id="24"/>
    <w:bookmarkStart w:id="25" w:name="payment-terms-and-schedule"/>
    <w:p>
      <w:pPr>
        <w:pStyle w:val="Heading2"/>
      </w:pPr>
      <w:r>
        <w:t xml:space="preserve">5. Payment Terms and Schedule</w:t>
      </w:r>
    </w:p>
    <w:p>
      <w:pPr>
        <w:pStyle w:val="FirstParagraph"/>
      </w:pPr>
      <w:r>
        <w:t xml:space="preserve">Payment for services rendered under this Quotation Estimate shall be made on a monthly basis, invoiced on the first business day of each calendar month for the preceding period. The client agrees to remit payment within thirty (30) days of invoice receipt. A late payment fee of 1.5% per month shall apply to any outstanding balance exceeding the net-30 window. The initial mobilization fee, equivalent to 15% of the total Quotation Estimate value, is due upon contract execution and prior to the Systems Engineer's first day of on-site work in San Francisco.</w:t>
      </w:r>
    </w:p>
    <w:bookmarkEnd w:id="25"/>
    <w:bookmarkStart w:id="26" w:name="assumptions-and-exclusions"/>
    <w:p>
      <w:pPr>
        <w:pStyle w:val="Heading2"/>
      </w:pPr>
      <w:r>
        <w:t xml:space="preserve">6. Assumptions and Exclusions</w:t>
      </w:r>
    </w:p>
    <w:p>
      <w:pPr>
        <w:pStyle w:val="FirstParagraph"/>
      </w:pPr>
      <w:r>
        <w:rPr>
          <w:bCs/>
          <w:b/>
        </w:rPr>
        <w:t xml:space="preserve">Important:</w:t>
      </w:r>
      <w:r>
        <w:t xml:space="preserve"> </w:t>
      </w:r>
      <w:r>
        <w:t xml:space="preserve">This Quotation Estimate assumes that the client will provide dedicated workspace, network access, and necessary credentials at the San Francisco office location. Hardware procurement (servers, switches, storage arrays) is excluded from this estimate and will be quoted separately upon request. Any scope changes exceeding 10% of the originally defined deliverables will trigger a formal change-order process and a revised Quotation Estimate.</w:t>
      </w:r>
    </w:p>
    <w:p>
      <w:pPr>
        <w:numPr>
          <w:ilvl w:val="0"/>
          <w:numId w:val="1002"/>
        </w:numPr>
        <w:pStyle w:val="Compact"/>
      </w:pPr>
      <w:r>
        <w:t xml:space="preserve">Hardware and physical infrastructure procurement are not included.</w:t>
      </w:r>
    </w:p>
    <w:p>
      <w:pPr>
        <w:numPr>
          <w:ilvl w:val="0"/>
          <w:numId w:val="1002"/>
        </w:numPr>
        <w:pStyle w:val="Compact"/>
      </w:pPr>
      <w:r>
        <w:t xml:space="preserve">Software development beyond configuration and scripting is excluded.</w:t>
      </w:r>
    </w:p>
    <w:p>
      <w:pPr>
        <w:numPr>
          <w:ilvl w:val="0"/>
          <w:numId w:val="1002"/>
        </w:numPr>
        <w:pStyle w:val="Compact"/>
      </w:pPr>
      <w:r>
        <w:t xml:space="preserve">Travel outside the San Francisco Bay Area requires separate authorization and billing.</w:t>
      </w:r>
    </w:p>
    <w:p>
      <w:pPr>
        <w:numPr>
          <w:ilvl w:val="0"/>
          <w:numId w:val="1002"/>
        </w:numPr>
        <w:pStyle w:val="Compact"/>
      </w:pPr>
      <w:r>
        <w:t xml:space="preserve">Extended warranty or premium support tiers from third-party vendors are at the client's expense.</w:t>
      </w:r>
    </w:p>
    <w:bookmarkEnd w:id="26"/>
    <w:bookmarkStart w:id="27" w:name="validity-and-acceptance"/>
    <w:p>
      <w:pPr>
        <w:pStyle w:val="Heading2"/>
      </w:pPr>
      <w:r>
        <w:t xml:space="preserve">7. Validity and Acceptance</w:t>
      </w:r>
    </w:p>
    <w:p>
      <w:pPr>
        <w:pStyle w:val="FirstParagraph"/>
      </w:pPr>
      <w:r>
        <w:t xml:space="preserve">This Quotation Estimate is valid for a period of thirty (30) calendar days from the date of issuance. Should the client wish to proceed beyond the validity window, a revised Quotation Estimate reflecting any market adjustments in Systems Engineer compensation rates within the United States San Francisco area will be issued. Acceptance of this Quotation Estimate constitutes a binding agreement subject to the terms outlined in the master services agreement (MSA) referenced herein. Both parties acknowledge that this engagement is governed by the laws of the State of California, United States, and any disputes shall be resolved through arbitration in San Francisco, California.</w:t>
      </w:r>
    </w:p>
    <w:bookmarkEnd w:id="27"/>
    <w:bookmarkStart w:id="28" w:name="terms-and-conditions"/>
    <w:p>
      <w:pPr>
        <w:pStyle w:val="Heading2"/>
      </w:pPr>
      <w:r>
        <w:t xml:space="preserve">8. Terms and Conditions</w:t>
      </w:r>
    </w:p>
    <w:p>
      <w:pPr>
        <w:pStyle w:val="FirstParagraph"/>
      </w:pPr>
      <w:r>
        <w:t xml:space="preserve">By signing below, both parties agree to the terms set forth in this Quotation Estimate. The Systems Engineer(s) engaged under this agreement shall be considered independent contractors of Meridian Technical Solutions LLC and not employees of the client. All intellectual property developed specifically for the client during the engagement shall be transferred to the client upon full payment. Confidentiality obligations as defined in the mutual NDA (Exhibit A) shall survive termination of this agreement for a period of five (5) years. The Systems Engineer shall comply with all applicable United States federal, California state, and San Francisco municipal labor and safety regulations throughout the duration of the engagement.</w:t>
      </w:r>
    </w:p>
    <w:bookmarkEnd w:id="28"/>
    <w:p>
      <w:pPr>
        <w:pStyle w:val="BodyText"/>
      </w:pPr>
      <w:r>
        <w:rPr>
          <w:bCs/>
          <w:b/>
        </w:rPr>
        <w:t xml:space="preserve">For Meridian Technical Solutions LLC</w:t>
      </w:r>
      <w:r>
        <w:br/>
      </w:r>
      <w:r>
        <w:t xml:space="preserve">Signature: _________________________</w:t>
      </w:r>
      <w:r>
        <w:br/>
      </w:r>
      <w:r>
        <w:t xml:space="preserve">Name: James R. Thornton, CEO</w:t>
      </w:r>
      <w:r>
        <w:br/>
      </w:r>
      <w:r>
        <w:t xml:space="preserve">Date: _________________________</w:t>
      </w:r>
    </w:p>
    <w:p>
      <w:pPr>
        <w:pStyle w:val="BodyText"/>
      </w:pPr>
      <w:r>
        <w:rPr>
          <w:bCs/>
          <w:b/>
        </w:rPr>
        <w:t xml:space="preserve">For Apex Digital Infrastructure Corp.</w:t>
      </w:r>
      <w:r>
        <w:br/>
      </w:r>
      <w:r>
        <w:t xml:space="preserve">Signature: _________________________</w:t>
      </w:r>
      <w:r>
        <w:br/>
      </w:r>
      <w:r>
        <w:t xml:space="preserve">Name: Dr. Elena Vasquez, VP Technology</w:t>
      </w:r>
      <w:r>
        <w:br/>
      </w:r>
      <w:r>
        <w:t xml:space="preserve">Date: _________________________</w:t>
      </w:r>
    </w:p>
    <w:p>
      <w:pPr>
        <w:pStyle w:val="BodyText"/>
      </w:pPr>
      <w:r>
        <w:rPr>
          <w:bCs/>
          <w:b/>
        </w:rPr>
        <w:t xml:space="preserve">Meridian Technical Solutions LLC</w:t>
      </w:r>
      <w:r>
        <w:t xml:space="preserve"> </w:t>
      </w:r>
      <w:r>
        <w:t xml:space="preserve">— 1455 Market Street, Suite 2200, San Francisco, CA 94103, United States</w:t>
      </w:r>
      <w:r>
        <w:br/>
      </w:r>
      <w:r>
        <w:t xml:space="preserve">Phone: (415) 555-0192  |  Email: quotations@meridiantech-sf.com  |  CA Business License No. 1847293</w:t>
      </w:r>
      <w:r>
        <w:br/>
      </w:r>
      <w:r>
        <w:t xml:space="preserve">This Quotation Estimate document is confidential and intended solely for the named recipient. Unauthorized distribution or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United States San Francisco</dc:title>
  <dc:creator/>
  <dc:language>en</dc:language>
  <cp:keywords/>
  <dcterms:created xsi:type="dcterms:W3CDTF">2026-10-10T07:32:06Z</dcterms:created>
  <dcterms:modified xsi:type="dcterms:W3CDTF">2026-10-10T07:32:06Z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