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Israel</w:t>
      </w:r>
      <w:r>
        <w:t xml:space="preserve"> </w:t>
      </w:r>
      <w:r>
        <w:t xml:space="preserve">Tel</w:t>
      </w:r>
      <w:r>
        <w:t xml:space="preserve"> </w:t>
      </w:r>
      <w:r>
        <w:t xml:space="preserve">Aviv</w:t>
      </w:r>
    </w:p>
    <w:bookmarkStart w:id="20" w:name="quotation-estimate"/>
    <w:p>
      <w:pPr>
        <w:pStyle w:val="Heading1"/>
      </w:pPr>
      <w:r>
        <w:t xml:space="preserve">Quotation Estimate</w:t>
      </w:r>
    </w:p>
    <w:p>
      <w:pPr>
        <w:pStyle w:val="FirstParagraph"/>
      </w:pPr>
      <w:r>
        <w:t xml:space="preserve">Professional Teacher Primary Recruitment &amp; Placement Services</w:t>
      </w:r>
    </w:p>
    <w:p>
      <w:pPr>
        <w:pStyle w:val="BodyText"/>
      </w:pPr>
      <w:r>
        <w:t xml:space="preserve">Serving the Education Sector in Israel Tel Aviv</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QTE-TLV-2025-0487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w:t>
      </w:r>
      <w:r>
        <w:t xml:space="preserve"> </w:t>
      </w:r>
      <w:r>
        <w:t xml:space="preserve">Israel Tel Aviv, 6400000</w:t>
      </w:r>
    </w:p>
    <w:bookmarkEnd w:id="21"/>
    <w:bookmarkStart w:id="22" w:name="prepared-by"/>
    <w:p>
      <w:pPr>
        <w:pStyle w:val="Heading3"/>
      </w:pPr>
      <w:r>
        <w:t xml:space="preserve">Prepared By</w:t>
      </w:r>
    </w:p>
    <w:p>
      <w:pPr>
        <w:pStyle w:val="FirstParagraph"/>
      </w:pPr>
      <w:r>
        <w:rPr>
          <w:bCs/>
          <w:b/>
        </w:rPr>
        <w:t xml:space="preserve">Company:</w:t>
      </w:r>
      <w:r>
        <w:t xml:space="preserve"> </w:t>
      </w:r>
      <w:r>
        <w:t xml:space="preserve">Levant Education Partners Ltd.</w:t>
      </w:r>
    </w:p>
    <w:p>
      <w:pPr>
        <w:pStyle w:val="BodyText"/>
      </w:pPr>
      <w:r>
        <w:rPr>
          <w:bCs/>
          <w:b/>
        </w:rPr>
        <w:t xml:space="preserve">Address:</w:t>
      </w:r>
      <w:r>
        <w:t xml:space="preserve"> </w:t>
      </w:r>
      <w:r>
        <w:t xml:space="preserve">24 Allenby Street, Tel Aviv-Yafo, Israel</w:t>
      </w:r>
    </w:p>
    <w:p>
      <w:pPr>
        <w:pStyle w:val="BodyText"/>
      </w:pPr>
      <w:r>
        <w:rPr>
          <w:bCs/>
          <w:b/>
        </w:rPr>
        <w:t xml:space="preserve">Contact:</w:t>
      </w:r>
      <w:r>
        <w:t xml:space="preserve"> </w:t>
      </w:r>
      <w:r>
        <w:t xml:space="preserve">+972-3-517-8842</w:t>
      </w:r>
    </w:p>
    <w:p>
      <w:pPr>
        <w:pStyle w:val="BodyText"/>
      </w:pPr>
      <w:r>
        <w:rPr>
          <w:bCs/>
          <w:b/>
        </w:rPr>
        <w:t xml:space="preserve">Email:</w:t>
      </w:r>
      <w:r>
        <w:t xml:space="preserve"> </w:t>
      </w:r>
      <w:r>
        <w:t xml:space="preserve">quotes@levant-edu.co.il</w:t>
      </w:r>
    </w:p>
    <w:bookmarkEnd w:id="22"/>
    <w:bookmarkStart w:id="23" w:name="prepared-for"/>
    <w:p>
      <w:pPr>
        <w:pStyle w:val="Heading3"/>
      </w:pPr>
      <w:r>
        <w:t xml:space="preserve">Prepared For</w:t>
      </w:r>
    </w:p>
    <w:p>
      <w:pPr>
        <w:pStyle w:val="FirstParagraph"/>
      </w:pPr>
      <w:r>
        <w:rPr>
          <w:bCs/>
          <w:b/>
        </w:rPr>
        <w:t xml:space="preserve">Client:</w:t>
      </w:r>
      <w:r>
        <w:t xml:space="preserve"> </w:t>
      </w:r>
      <w:r>
        <w:t xml:space="preserve">Tel Aviv Municipal Education Authority</w:t>
      </w:r>
    </w:p>
    <w:p>
      <w:pPr>
        <w:pStyle w:val="BodyText"/>
      </w:pPr>
      <w:r>
        <w:rPr>
          <w:bCs/>
          <w:b/>
        </w:rPr>
        <w:t xml:space="preserve">Department:</w:t>
      </w:r>
      <w:r>
        <w:t xml:space="preserve"> </w:t>
      </w:r>
      <w:r>
        <w:t xml:space="preserve">Primary Schools Division</w:t>
      </w:r>
    </w:p>
    <w:p>
      <w:pPr>
        <w:pStyle w:val="BodyText"/>
      </w:pPr>
      <w:r>
        <w:rPr>
          <w:bCs/>
          <w:b/>
        </w:rPr>
        <w:t xml:space="preserve">Address:</w:t>
      </w:r>
      <w:r>
        <w:t xml:space="preserve"> </w:t>
      </w:r>
      <w:r>
        <w:t xml:space="preserve">10 Herzl Street, Tel Aviv, Israel</w:t>
      </w:r>
    </w:p>
    <w:p>
      <w:pPr>
        <w:pStyle w:val="BodyText"/>
      </w:pPr>
      <w:r>
        <w:rPr>
          <w:bCs/>
          <w:b/>
        </w:rPr>
        <w:t xml:space="preserve">Reference:</w:t>
      </w:r>
      <w:r>
        <w:t xml:space="preserve"> </w:t>
      </w:r>
      <w:r>
        <w:t xml:space="preserve">TMEA-PRM-2025-112</w:t>
      </w:r>
    </w:p>
    <w:bookmarkEnd w:id="23"/>
    <w:bookmarkStart w:id="24" w:name="project-scope"/>
    <w:p>
      <w:pPr>
        <w:pStyle w:val="Heading3"/>
      </w:pPr>
      <w:r>
        <w:t xml:space="preserve">Project Scope</w:t>
      </w:r>
    </w:p>
    <w:p>
      <w:pPr>
        <w:pStyle w:val="FirstParagraph"/>
      </w:pPr>
      <w:r>
        <w:rPr>
          <w:bCs/>
          <w:b/>
        </w:rPr>
        <w:t xml:space="preserve">Service:</w:t>
      </w:r>
      <w:r>
        <w:t xml:space="preserve"> </w:t>
      </w:r>
      <w:r>
        <w:t xml:space="preserve">Teacher Primary Recruitment &amp; Onboarding</w:t>
      </w:r>
    </w:p>
    <w:p>
      <w:pPr>
        <w:pStyle w:val="BodyText"/>
      </w:pPr>
      <w:r>
        <w:rPr>
          <w:bCs/>
          <w:b/>
        </w:rPr>
        <w:t xml:space="preserve">Region:</w:t>
      </w:r>
      <w:r>
        <w:t xml:space="preserve"> </w:t>
      </w:r>
      <w:r>
        <w:t xml:space="preserve">Israel Tel Aviv (All Districts)</w:t>
      </w:r>
    </w:p>
    <w:p>
      <w:pPr>
        <w:pStyle w:val="BodyText"/>
      </w:pPr>
      <w:r>
        <w:rPr>
          <w:bCs/>
          <w:b/>
        </w:rPr>
        <w:t xml:space="preserve">Academic Year:</w:t>
      </w:r>
      <w:r>
        <w:t xml:space="preserve"> </w:t>
      </w:r>
      <w:r>
        <w:t xml:space="preserve">2025/2026</w:t>
      </w:r>
    </w:p>
    <w:p>
      <w:pPr>
        <w:pStyle w:val="BodyText"/>
      </w:pPr>
      <w:r>
        <w:rPr>
          <w:bCs/>
          <w:b/>
        </w:rPr>
        <w:t xml:space="preserve">Positions Required:</w:t>
      </w:r>
      <w:r>
        <w:t xml:space="preserve"> </w:t>
      </w:r>
      <w:r>
        <w:t xml:space="preserve">12 Full-Time Teacher Primary Roles</w:t>
      </w:r>
    </w:p>
    <w:bookmarkEnd w:id="24"/>
    <w:bookmarkStart w:id="25"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submitted by Levant Education Partners Ltd. to the Tel Aviv Municipal Education Authority for the comprehensive recruitment, vetting, and placement of qualified</w:t>
      </w:r>
      <w:r>
        <w:t xml:space="preserve"> </w:t>
      </w:r>
      <w:r>
        <w:t xml:space="preserve">Teacher Primary</w:t>
      </w:r>
      <w:r>
        <w:t xml:space="preserve"> </w:t>
      </w:r>
      <w:r>
        <w:t xml:space="preserve">professionals across the public and semi-private primary school network in</w:t>
      </w:r>
      <w:r>
        <w:t xml:space="preserve"> </w:t>
      </w:r>
      <w:r>
        <w:t xml:space="preserve">Israel Tel Aviv</w:t>
      </w:r>
      <w:r>
        <w:t xml:space="preserve">. The scope encompasses end-to-end services including candidate sourcing, credential verification in accordance with the Israeli Ministry of Education standards, interview coordination, background checks, onboarding support, and a six-month post-placement performance monitoring period. This quotation reflects competitive market rates for the Tel Aviv metropolitan area and is structured to align with the municipal budget cycle for the 2025/2026 academic year.</w:t>
      </w:r>
    </w:p>
    <w:bookmarkEnd w:id="25"/>
    <w:bookmarkStart w:id="26" w:name="Xfa86d2eb47415842d5bb47cd42886cb1945be5c"/>
    <w:p>
      <w:pPr>
        <w:pStyle w:val="Heading2"/>
      </w:pPr>
      <w:r>
        <w:t xml:space="preserve">2. Scope of Services – Teacher Primary Placement in Israel Tel Aviv</w:t>
      </w:r>
    </w:p>
    <w:p>
      <w:pPr>
        <w:pStyle w:val="FirstParagraph"/>
      </w:pPr>
      <w:r>
        <w:t xml:space="preserve">The following services are included in this</w:t>
      </w:r>
      <w:r>
        <w:t xml:space="preserve"> </w:t>
      </w:r>
      <w:r>
        <w:t xml:space="preserve">Quotation Estimate</w:t>
      </w:r>
      <w:r>
        <w:t xml:space="preserve"> </w:t>
      </w:r>
      <w:r>
        <w:t xml:space="preserve">for the recruitment of</w:t>
      </w:r>
      <w:r>
        <w:t xml:space="preserve"> </w:t>
      </w:r>
      <w:r>
        <w:t xml:space="preserve">Teacher Primary</w:t>
      </w:r>
      <w:r>
        <w:t xml:space="preserve"> </w:t>
      </w:r>
      <w:r>
        <w:t xml:space="preserve">candidates serving the diverse educational communities of</w:t>
      </w:r>
      <w:r>
        <w:t xml:space="preserve"> </w:t>
      </w:r>
      <w:r>
        <w:t xml:space="preserve">Israel Tel Aviv</w:t>
      </w:r>
      <w:r>
        <w:t xml:space="preserve">:</w:t>
      </w:r>
    </w:p>
    <w:p>
      <w:pPr>
        <w:numPr>
          <w:ilvl w:val="0"/>
          <w:numId w:val="1001"/>
        </w:numPr>
        <w:pStyle w:val="Compact"/>
      </w:pPr>
      <w:r>
        <w:t xml:space="preserve">Identification and sourcing of a minimum of 40 qualified Teacher Primary candidates holding valid Israeli teaching licenses (Rishuyot) for primary education (grades 1–6).</w:t>
      </w:r>
    </w:p>
    <w:p>
      <w:pPr>
        <w:numPr>
          <w:ilvl w:val="0"/>
          <w:numId w:val="1001"/>
        </w:numPr>
        <w:pStyle w:val="Compact"/>
      </w:pPr>
      <w:r>
        <w:t xml:space="preserve">Verification of academic credentials, teaching certifications, and professional references in compliance with the Israeli Ministry of Education regulations.</w:t>
      </w:r>
    </w:p>
    <w:p>
      <w:pPr>
        <w:numPr>
          <w:ilvl w:val="0"/>
          <w:numId w:val="1001"/>
        </w:numPr>
        <w:pStyle w:val="Compact"/>
      </w:pPr>
      <w:r>
        <w:t xml:space="preserve">Conducting structured interviews and practical classroom assessments tailored to the pedagogical standards of Tel Aviv primary schools.</w:t>
      </w:r>
    </w:p>
    <w:p>
      <w:pPr>
        <w:numPr>
          <w:ilvl w:val="0"/>
          <w:numId w:val="1001"/>
        </w:numPr>
        <w:pStyle w:val="Compact"/>
      </w:pPr>
      <w:r>
        <w:t xml:space="preserve">Coordination of criminal background checks and child protection clearances as mandated by Israeli law for all Teacher Primary positions.</w:t>
      </w:r>
    </w:p>
    <w:p>
      <w:pPr>
        <w:numPr>
          <w:ilvl w:val="0"/>
          <w:numId w:val="1001"/>
        </w:numPr>
        <w:pStyle w:val="Compact"/>
      </w:pPr>
      <w:r>
        <w:t xml:space="preserve">Assistance with relocation logistics for candidates arriving from other regions of Israel or internationally to reside in Tel Aviv.</w:t>
      </w:r>
    </w:p>
    <w:p>
      <w:pPr>
        <w:numPr>
          <w:ilvl w:val="0"/>
          <w:numId w:val="1001"/>
        </w:numPr>
        <w:pStyle w:val="Compact"/>
      </w:pPr>
      <w:r>
        <w:t xml:space="preserve">Provision of a structured onboarding program covering the Tel Aviv municipal curriculum, school-specific policies, and local community integration.</w:t>
      </w:r>
    </w:p>
    <w:p>
      <w:pPr>
        <w:numPr>
          <w:ilvl w:val="0"/>
          <w:numId w:val="1001"/>
        </w:numPr>
        <w:pStyle w:val="Compact"/>
      </w:pPr>
      <w:r>
        <w:t xml:space="preserve">Six-month post-placement support including quarterly performance reviews and access to a dedicated HR liaison based in Tel Aviv.</w:t>
      </w:r>
    </w:p>
    <w:bookmarkEnd w:id="26"/>
    <w:bookmarkStart w:id="27"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Teacher Primary candidate sourcing &amp; database access (per position)</w:t>
            </w:r>
          </w:p>
        </w:tc>
        <w:tc>
          <w:tcPr/>
          <w:p>
            <w:pPr>
              <w:pStyle w:val="Compact"/>
              <w:jc w:val="left"/>
            </w:pPr>
            <w:r>
              <w:t xml:space="preserve">12</w:t>
            </w:r>
          </w:p>
        </w:tc>
        <w:tc>
          <w:tcPr/>
          <w:p>
            <w:pPr>
              <w:pStyle w:val="Compact"/>
              <w:jc w:val="left"/>
            </w:pPr>
            <w:r>
              <w:t xml:space="preserve">4,500</w:t>
            </w:r>
          </w:p>
        </w:tc>
        <w:tc>
          <w:tcPr/>
          <w:p>
            <w:pPr>
              <w:pStyle w:val="Compact"/>
              <w:jc w:val="left"/>
            </w:pPr>
            <w:r>
              <w:t xml:space="preserve">54,000</w:t>
            </w:r>
          </w:p>
        </w:tc>
      </w:tr>
      <w:tr>
        <w:tc>
          <w:tcPr/>
          <w:p>
            <w:pPr>
              <w:pStyle w:val="Compact"/>
              <w:jc w:val="left"/>
            </w:pPr>
            <w:r>
              <w:t xml:space="preserve">02</w:t>
            </w:r>
          </w:p>
        </w:tc>
        <w:tc>
          <w:tcPr/>
          <w:p>
            <w:pPr>
              <w:pStyle w:val="Compact"/>
              <w:jc w:val="left"/>
            </w:pPr>
            <w:r>
              <w:t xml:space="preserve">Credential verification &amp; Ministry of Education compliance check (per candidate)</w:t>
            </w:r>
          </w:p>
        </w:tc>
        <w:tc>
          <w:tcPr/>
          <w:p>
            <w:pPr>
              <w:pStyle w:val="Compact"/>
              <w:jc w:val="left"/>
            </w:pPr>
            <w:r>
              <w:t xml:space="preserve">40</w:t>
            </w:r>
          </w:p>
        </w:tc>
        <w:tc>
          <w:tcPr/>
          <w:p>
            <w:pPr>
              <w:pStyle w:val="Compact"/>
              <w:jc w:val="left"/>
            </w:pPr>
            <w:r>
              <w:t xml:space="preserve">1,200</w:t>
            </w:r>
          </w:p>
        </w:tc>
        <w:tc>
          <w:tcPr/>
          <w:p>
            <w:pPr>
              <w:pStyle w:val="Compact"/>
              <w:jc w:val="left"/>
            </w:pPr>
            <w:r>
              <w:t xml:space="preserve">48,000</w:t>
            </w:r>
          </w:p>
        </w:tc>
      </w:tr>
      <w:tr>
        <w:tc>
          <w:tcPr/>
          <w:p>
            <w:pPr>
              <w:pStyle w:val="Compact"/>
              <w:jc w:val="left"/>
            </w:pPr>
            <w:r>
              <w:t xml:space="preserve">03</w:t>
            </w:r>
          </w:p>
        </w:tc>
        <w:tc>
          <w:tcPr/>
          <w:p>
            <w:pPr>
              <w:pStyle w:val="Compact"/>
              <w:jc w:val="left"/>
            </w:pPr>
            <w:r>
              <w:t xml:space="preserve">Structured interview &amp; classroom assessment coordination (per position)</w:t>
            </w:r>
          </w:p>
        </w:tc>
        <w:tc>
          <w:tcPr/>
          <w:p>
            <w:pPr>
              <w:pStyle w:val="Compact"/>
              <w:jc w:val="left"/>
            </w:pPr>
            <w:r>
              <w:t xml:space="preserve">12</w:t>
            </w:r>
          </w:p>
        </w:tc>
        <w:tc>
          <w:tcPr/>
          <w:p>
            <w:pPr>
              <w:pStyle w:val="Compact"/>
              <w:jc w:val="left"/>
            </w:pPr>
            <w:r>
              <w:t xml:space="preserve">3,800</w:t>
            </w:r>
          </w:p>
        </w:tc>
        <w:tc>
          <w:tcPr/>
          <w:p>
            <w:pPr>
              <w:pStyle w:val="Compact"/>
              <w:jc w:val="left"/>
            </w:pPr>
            <w:r>
              <w:t xml:space="preserve">45,600</w:t>
            </w:r>
          </w:p>
        </w:tc>
      </w:tr>
      <w:tr>
        <w:tc>
          <w:tcPr/>
          <w:p>
            <w:pPr>
              <w:pStyle w:val="Compact"/>
              <w:jc w:val="left"/>
            </w:pPr>
            <w:r>
              <w:t xml:space="preserve">04</w:t>
            </w:r>
          </w:p>
        </w:tc>
        <w:tc>
          <w:tcPr/>
          <w:p>
            <w:pPr>
              <w:pStyle w:val="Compact"/>
              <w:jc w:val="left"/>
            </w:pPr>
            <w:r>
              <w:t xml:space="preserve">Background check &amp; child protection clearance (per candidate)</w:t>
            </w:r>
          </w:p>
        </w:tc>
        <w:tc>
          <w:tcPr/>
          <w:p>
            <w:pPr>
              <w:pStyle w:val="Compact"/>
              <w:jc w:val="left"/>
            </w:pPr>
            <w:r>
              <w:t xml:space="preserve">12</w:t>
            </w:r>
          </w:p>
        </w:tc>
        <w:tc>
          <w:tcPr/>
          <w:p>
            <w:pPr>
              <w:pStyle w:val="Compact"/>
              <w:jc w:val="left"/>
            </w:pPr>
            <w:r>
              <w:t xml:space="preserve">2,500</w:t>
            </w:r>
          </w:p>
        </w:tc>
        <w:tc>
          <w:tcPr/>
          <w:p>
            <w:pPr>
              <w:pStyle w:val="Compact"/>
              <w:jc w:val="left"/>
            </w:pPr>
            <w:r>
              <w:t xml:space="preserve">30,000</w:t>
            </w:r>
          </w:p>
        </w:tc>
      </w:tr>
      <w:tr>
        <w:tc>
          <w:tcPr/>
          <w:p>
            <w:pPr>
              <w:pStyle w:val="Compact"/>
              <w:jc w:val="left"/>
            </w:pPr>
            <w:r>
              <w:t xml:space="preserve">05</w:t>
            </w:r>
          </w:p>
        </w:tc>
        <w:tc>
          <w:tcPr/>
          <w:p>
            <w:pPr>
              <w:pStyle w:val="Compact"/>
              <w:jc w:val="left"/>
            </w:pPr>
            <w:r>
              <w:t xml:space="preserve">Relocation &amp; settlement assistance in Tel Aviv (per relocated candidate)</w:t>
            </w:r>
          </w:p>
        </w:tc>
        <w:tc>
          <w:tcPr/>
          <w:p>
            <w:pPr>
              <w:pStyle w:val="Compact"/>
              <w:jc w:val="left"/>
            </w:pPr>
            <w:r>
              <w:t xml:space="preserve">5</w:t>
            </w:r>
          </w:p>
        </w:tc>
        <w:tc>
          <w:tcPr/>
          <w:p>
            <w:pPr>
              <w:pStyle w:val="Compact"/>
              <w:jc w:val="left"/>
            </w:pPr>
            <w:r>
              <w:t xml:space="preserve">6,000</w:t>
            </w:r>
          </w:p>
        </w:tc>
        <w:tc>
          <w:tcPr/>
          <w:p>
            <w:pPr>
              <w:pStyle w:val="Compact"/>
              <w:jc w:val="left"/>
            </w:pPr>
            <w:r>
              <w:t xml:space="preserve">30,000</w:t>
            </w:r>
          </w:p>
        </w:tc>
      </w:tr>
      <w:tr>
        <w:tc>
          <w:tcPr/>
          <w:p>
            <w:pPr>
              <w:pStyle w:val="Compact"/>
              <w:jc w:val="left"/>
            </w:pPr>
            <w:r>
              <w:t xml:space="preserve">06</w:t>
            </w:r>
          </w:p>
        </w:tc>
        <w:tc>
          <w:tcPr/>
          <w:p>
            <w:pPr>
              <w:pStyle w:val="Compact"/>
              <w:jc w:val="left"/>
            </w:pPr>
            <w:r>
              <w:t xml:space="preserve">Onboarding program &amp; Tel Aviv curriculum orientation (per position)</w:t>
            </w:r>
          </w:p>
        </w:tc>
        <w:tc>
          <w:tcPr/>
          <w:p>
            <w:pPr>
              <w:pStyle w:val="Compact"/>
              <w:jc w:val="left"/>
            </w:pPr>
            <w:r>
              <w:t xml:space="preserve">12</w:t>
            </w:r>
          </w:p>
        </w:tc>
        <w:tc>
          <w:tcPr/>
          <w:p>
            <w:pPr>
              <w:pStyle w:val="Compact"/>
              <w:jc w:val="left"/>
            </w:pPr>
            <w:r>
              <w:t xml:space="preserve">2,200</w:t>
            </w:r>
          </w:p>
        </w:tc>
        <w:tc>
          <w:tcPr/>
          <w:p>
            <w:pPr>
              <w:pStyle w:val="Compact"/>
              <w:jc w:val="left"/>
            </w:pPr>
            <w:r>
              <w:t xml:space="preserve">26,400</w:t>
            </w:r>
          </w:p>
        </w:tc>
      </w:tr>
      <w:tr>
        <w:tc>
          <w:tcPr/>
          <w:p>
            <w:pPr>
              <w:pStyle w:val="Compact"/>
              <w:jc w:val="left"/>
            </w:pPr>
            <w:r>
              <w:t xml:space="preserve">07</w:t>
            </w:r>
          </w:p>
        </w:tc>
        <w:tc>
          <w:tcPr/>
          <w:p>
            <w:pPr>
              <w:pStyle w:val="Compact"/>
              <w:jc w:val="left"/>
            </w:pPr>
            <w:r>
              <w:t xml:space="preserve">Six-month post-placement monitoring &amp; HR liaison support (per position)</w:t>
            </w:r>
          </w:p>
        </w:tc>
        <w:tc>
          <w:tcPr/>
          <w:p>
            <w:pPr>
              <w:pStyle w:val="Compact"/>
              <w:jc w:val="left"/>
            </w:pPr>
            <w:r>
              <w:t xml:space="preserve">12</w:t>
            </w:r>
          </w:p>
        </w:tc>
        <w:tc>
          <w:tcPr/>
          <w:p>
            <w:pPr>
              <w:pStyle w:val="Compact"/>
              <w:jc w:val="left"/>
            </w:pPr>
            <w:r>
              <w:t xml:space="preserve">3,000</w:t>
            </w:r>
          </w:p>
        </w:tc>
        <w:tc>
          <w:tcPr/>
          <w:p>
            <w:pPr>
              <w:pStyle w:val="Compact"/>
              <w:jc w:val="left"/>
            </w:pPr>
            <w:r>
              <w:t xml:space="preserve">36,000</w:t>
            </w:r>
          </w:p>
        </w:tc>
      </w:tr>
      <w:tr>
        <w:tc>
          <w:tcPr/>
          <w:p>
            <w:pPr>
              <w:pStyle w:val="Compact"/>
              <w:jc w:val="left"/>
            </w:pPr>
            <w:r>
              <w:t xml:space="preserve">08</w:t>
            </w:r>
          </w:p>
        </w:tc>
        <w:tc>
          <w:tcPr/>
          <w:p>
            <w:pPr>
              <w:pStyle w:val="Compact"/>
              <w:jc w:val="left"/>
            </w:pPr>
            <w:r>
              <w:t xml:space="preserve">Project management &amp; administrative overhead</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gridSpan w:val="4"/>
          </w:tcPr>
          <w:p>
            <w:pPr>
              <w:pStyle w:val="Compact"/>
              <w:jc w:val="left"/>
            </w:pPr>
            <w:r>
              <w:t xml:space="preserve">Subtotal (excl. VAT)</w:t>
            </w:r>
          </w:p>
        </w:tc>
        <w:tc>
          <w:tcPr/>
          <w:p>
            <w:pPr>
              <w:pStyle w:val="Compact"/>
              <w:jc w:val="left"/>
            </w:pPr>
            <w:r>
              <w:t xml:space="preserve">295,000</w:t>
            </w:r>
          </w:p>
        </w:tc>
      </w:tr>
      <w:tr>
        <w:tc>
          <w:tcPr>
            <w:gridSpan w:val="4"/>
          </w:tcPr>
          <w:p>
            <w:pPr>
              <w:pStyle w:val="Compact"/>
              <w:jc w:val="left"/>
            </w:pPr>
            <w:r>
              <w:t xml:space="preserve">VAT (18%)</w:t>
            </w:r>
          </w:p>
        </w:tc>
        <w:tc>
          <w:tcPr/>
          <w:p>
            <w:pPr>
              <w:pStyle w:val="Compact"/>
              <w:jc w:val="left"/>
            </w:pPr>
            <w:r>
              <w:t xml:space="preserve">53,100</w:t>
            </w:r>
          </w:p>
        </w:tc>
      </w:tr>
      <w:tr>
        <w:tc>
          <w:tcPr>
            <w:gridSpan w:val="4"/>
          </w:tcPr>
          <w:p>
            <w:pPr>
              <w:pStyle w:val="Compact"/>
              <w:jc w:val="left"/>
            </w:pPr>
            <w:r>
              <w:rPr>
                <w:bCs/>
                <w:b/>
              </w:rPr>
              <w:t xml:space="preserve">Grand Total (incl. VAT)</w:t>
            </w:r>
          </w:p>
        </w:tc>
        <w:tc>
          <w:tcPr/>
          <w:p>
            <w:pPr>
              <w:pStyle w:val="Compact"/>
              <w:jc w:val="left"/>
            </w:pPr>
            <w:r>
              <w:rPr>
                <w:bCs/>
                <w:b/>
              </w:rPr>
              <w:t xml:space="preserve">348,100 ILS</w:t>
            </w:r>
          </w:p>
        </w:tc>
      </w:tr>
    </w:tbl>
    <w:bookmarkEnd w:id="27"/>
    <w:bookmarkStart w:id="28" w:name="payment-schedule"/>
    <w:p>
      <w:pPr>
        <w:pStyle w:val="Heading2"/>
      </w:pPr>
      <w:r>
        <w:t xml:space="preserve">4. Payment Schedule</w:t>
      </w:r>
    </w:p>
    <w:p>
      <w:pPr>
        <w:pStyle w:val="FirstParagraph"/>
      </w:pPr>
      <w:r>
        <w:t xml:space="preserve">This</w:t>
      </w:r>
      <w:r>
        <w:t xml:space="preserve"> </w:t>
      </w:r>
      <w:r>
        <w:t xml:space="preserve">Quotation Estimate</w:t>
      </w:r>
      <w:r>
        <w:t xml:space="preserve"> </w:t>
      </w:r>
      <w:r>
        <w:t xml:space="preserve">for the</w:t>
      </w:r>
      <w:r>
        <w:t xml:space="preserve"> </w:t>
      </w:r>
      <w:r>
        <w:t xml:space="preserve">Teacher Primary</w:t>
      </w:r>
      <w:r>
        <w:t xml:space="preserve"> </w:t>
      </w:r>
      <w:r>
        <w:t xml:space="preserve">recruitment project in</w:t>
      </w:r>
      <w:r>
        <w:t xml:space="preserve"> </w:t>
      </w:r>
      <w:r>
        <w:t xml:space="preserve">Israel Tel Aviv</w:t>
      </w:r>
      <w:r>
        <w:t xml:space="preserve"> </w:t>
      </w:r>
      <w:r>
        <w:t xml:space="preserve">shall be settled according to the following milestone-based schedule:</w:t>
      </w:r>
    </w:p>
    <w:p>
      <w:pPr>
        <w:numPr>
          <w:ilvl w:val="0"/>
          <w:numId w:val="1002"/>
        </w:numPr>
        <w:pStyle w:val="Compact"/>
      </w:pPr>
      <w:r>
        <w:rPr>
          <w:bCs/>
          <w:b/>
        </w:rPr>
        <w:t xml:space="preserve">30% (104,430 ILS):</w:t>
      </w:r>
      <w:r>
        <w:t xml:space="preserve"> </w:t>
      </w:r>
      <w:r>
        <w:t xml:space="preserve">Due upon signed acceptance of this quotation and project kickoff.</w:t>
      </w:r>
    </w:p>
    <w:p>
      <w:pPr>
        <w:numPr>
          <w:ilvl w:val="0"/>
          <w:numId w:val="1002"/>
        </w:numPr>
        <w:pStyle w:val="Compact"/>
      </w:pPr>
      <w:r>
        <w:rPr>
          <w:bCs/>
          <w:b/>
        </w:rPr>
        <w:t xml:space="preserve">40% (139,240 ILS):</w:t>
      </w:r>
      <w:r>
        <w:t xml:space="preserve"> </w:t>
      </w:r>
      <w:r>
        <w:t xml:space="preserve">Due upon successful placement of at least 8 Teacher Primary candidates in their respective Tel Aviv schools.</w:t>
      </w:r>
    </w:p>
    <w:p>
      <w:pPr>
        <w:numPr>
          <w:ilvl w:val="0"/>
          <w:numId w:val="1002"/>
        </w:numPr>
        <w:pStyle w:val="Compact"/>
      </w:pPr>
      <w:r>
        <w:rPr>
          <w:bCs/>
          <w:b/>
        </w:rPr>
        <w:t xml:space="preserve">20% (69,620 ILS):</w:t>
      </w:r>
      <w:r>
        <w:t xml:space="preserve"> </w:t>
      </w:r>
      <w:r>
        <w:t xml:space="preserve">Due upon completion of all 12 placements and delivery of onboarding programs.</w:t>
      </w:r>
    </w:p>
    <w:p>
      <w:pPr>
        <w:numPr>
          <w:ilvl w:val="0"/>
          <w:numId w:val="1002"/>
        </w:numPr>
        <w:pStyle w:val="Compact"/>
      </w:pPr>
      <w:r>
        <w:rPr>
          <w:bCs/>
          <w:b/>
        </w:rPr>
        <w:t xml:space="preserve">10% (34,810 ILS):</w:t>
      </w:r>
      <w:r>
        <w:t xml:space="preserve"> </w:t>
      </w:r>
      <w:r>
        <w:t xml:space="preserve">Due at the conclusion of the six-month post-placement monitoring period, subject to satisfactory performance reports.</w:t>
      </w:r>
    </w:p>
    <w:bookmarkEnd w:id="28"/>
    <w:bookmarkStart w:id="29"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After the validity period, pricing for Teacher Primary recruitment services in Israel Tel Aviv may be subject to revision based on market conditions.</w:t>
      </w:r>
    </w:p>
    <w:p>
      <w:pPr>
        <w:numPr>
          <w:ilvl w:val="0"/>
          <w:numId w:val="1003"/>
        </w:numPr>
        <w:pStyle w:val="Compact"/>
      </w:pPr>
      <w:r>
        <w:t xml:space="preserve">All services shall be performed in full compliance with the Israeli Labor Law, the Ministry of Education regulations, and the Tel Aviv-Yafo Municipality procurement guidelines.</w:t>
      </w:r>
    </w:p>
    <w:p>
      <w:pPr>
        <w:numPr>
          <w:ilvl w:val="0"/>
          <w:numId w:val="1003"/>
        </w:numPr>
        <w:pStyle w:val="Compact"/>
      </w:pPr>
      <w:r>
        <w:t xml:space="preserve">Levant Education Partners Ltd. shall maintain full confidentiality regarding all Teacher Primary candidate data in accordance with the Israeli Privacy Protection Law, 5741-1981.</w:t>
      </w:r>
    </w:p>
    <w:p>
      <w:pPr>
        <w:numPr>
          <w:ilvl w:val="0"/>
          <w:numId w:val="1003"/>
        </w:numPr>
        <w:pStyle w:val="Compact"/>
      </w:pPr>
      <w:r>
        <w:t xml:space="preserve">Any changes to the scope of work, including additional Teacher Primary positions or modifications to the Tel Aviv school deployment plan, shall be documented in a written amendment to this Quotation Estimate.</w:t>
      </w:r>
    </w:p>
    <w:p>
      <w:pPr>
        <w:numPr>
          <w:ilvl w:val="0"/>
          <w:numId w:val="1003"/>
        </w:numPr>
        <w:pStyle w:val="Compact"/>
      </w:pPr>
      <w:r>
        <w:t xml:space="preserve">Disputes arising from this agreement shall be resolved through mediation in Tel Aviv, Israel, in accordance with the jurisdiction of the Tel Aviv District Court.</w:t>
      </w:r>
    </w:p>
    <w:p>
      <w:pPr>
        <w:numPr>
          <w:ilvl w:val="0"/>
          <w:numId w:val="1003"/>
        </w:numPr>
        <w:pStyle w:val="Compact"/>
      </w:pPr>
      <w:r>
        <w:t xml:space="preserve">All invoices shall be payable within thirty (30) days of receipt. Late payments shall accrue interest at the rate prescribed by the Israeli Interest Law.</w:t>
      </w:r>
    </w:p>
    <w:bookmarkEnd w:id="29"/>
    <w:bookmarkStart w:id="30" w:name="acceptance-and-authorization"/>
    <w:p>
      <w:pPr>
        <w:pStyle w:val="Heading2"/>
      </w:pPr>
      <w:r>
        <w:t xml:space="preserve">6. Acceptance and Authorization</w:t>
      </w:r>
    </w:p>
    <w:p>
      <w:pPr>
        <w:pStyle w:val="FirstParagraph"/>
      </w:pPr>
      <w:r>
        <w:t xml:space="preserve">By signing below, the Client acknowledges and accepts this</w:t>
      </w:r>
      <w:r>
        <w:t xml:space="preserve"> </w:t>
      </w:r>
      <w:r>
        <w:t xml:space="preserve">Quotation Estimate</w:t>
      </w:r>
      <w:r>
        <w:t xml:space="preserve"> </w:t>
      </w:r>
      <w:r>
        <w:t xml:space="preserve">for the</w:t>
      </w:r>
      <w:r>
        <w:t xml:space="preserve"> </w:t>
      </w:r>
      <w:r>
        <w:t xml:space="preserve">Teacher Primary</w:t>
      </w:r>
      <w:r>
        <w:t xml:space="preserve"> </w:t>
      </w:r>
      <w:r>
        <w:t xml:space="preserve">recruitment and placement services to be delivered in</w:t>
      </w:r>
      <w:r>
        <w:t xml:space="preserve"> </w:t>
      </w:r>
      <w:r>
        <w:t xml:space="preserve">Israel Tel Aviv</w:t>
      </w:r>
      <w:r>
        <w:t xml:space="preserve"> </w:t>
      </w:r>
      <w:r>
        <w:t xml:space="preserve">as described herein. This signature constitutes a binding agreement between both parties under the terms and conditions outlined in this document.</w:t>
      </w:r>
    </w:p>
    <w:p>
      <w:pPr>
        <w:pStyle w:val="BodyText"/>
      </w:pPr>
      <w:r>
        <w:rPr>
          <w:bCs/>
          <w:b/>
        </w:rPr>
        <w:t xml:space="preserve">For Levant Education Partners Ltd. (Provider)</w:t>
      </w:r>
    </w:p>
    <w:p>
      <w:pPr>
        <w:pStyle w:val="BodyText"/>
      </w:pPr>
      <w:r>
        <w:t xml:space="preserve">Name: David Ben-Ami, Director</w:t>
      </w:r>
    </w:p>
    <w:p>
      <w:pPr>
        <w:pStyle w:val="BodyText"/>
      </w:pPr>
      <w:r>
        <w:t xml:space="preserve">Signature &amp; Date: _________________________</w:t>
      </w:r>
    </w:p>
    <w:p>
      <w:pPr>
        <w:pStyle w:val="BodyText"/>
      </w:pPr>
      <w:r>
        <w:rPr>
          <w:bCs/>
          <w:b/>
        </w:rPr>
        <w:t xml:space="preserve">For Tel Aviv Municipal Education Authority (Client)</w:t>
      </w:r>
    </w:p>
    <w:p>
      <w:pPr>
        <w:pStyle w:val="BodyText"/>
      </w:pPr>
      <w:r>
        <w:t xml:space="preserve">Name: _________________________</w:t>
      </w:r>
    </w:p>
    <w:p>
      <w:pPr>
        <w:pStyle w:val="BodyText"/>
      </w:pPr>
      <w:r>
        <w:t xml:space="preserve">Signature &amp; Date: _________________________</w:t>
      </w:r>
    </w:p>
    <w:p>
      <w:pPr>
        <w:pStyle w:val="BodyText"/>
      </w:pPr>
      <w:r>
        <w:t xml:space="preserve">Levant Education Partners Ltd. | 24 Allenby Street, Tel Aviv-Yafo, Israel | Reg. No. 51-778-902-34 | VAT: 517789023</w:t>
      </w:r>
    </w:p>
    <w:p>
      <w:pPr>
        <w:pStyle w:val="BodyText"/>
      </w:pPr>
      <w:r>
        <w:t xml:space="preserve">This Quotation Estimate document was prepared exclusively for the Tel Aviv Municipal Education Authority and is not transferable to third parties.</w:t>
      </w:r>
    </w:p>
    <w:p>
      <w:pPr>
        <w:pStyle w:val="BodyText"/>
      </w:pPr>
      <w:r>
        <w:t xml:space="preserve">Document Reference: QTE-TLV-2025-0487 | Page 1 of 1</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Primary - Israel Tel Aviv</dc:title>
  <dc:creator/>
  <dc:language>en</dc:language>
  <cp:keywords/>
  <dcterms:created xsi:type="dcterms:W3CDTF">2026-10-10T01:22:48Z</dcterms:created>
  <dcterms:modified xsi:type="dcterms:W3CDTF">2026-10-10T01:22:48Z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