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Yangon Educational Services Co., Ltd.</w:t>
      </w:r>
    </w:p>
    <w:p>
      <w:pPr>
        <w:pStyle w:val="BodyText"/>
      </w:pPr>
      <w:r>
        <w:t xml:space="preserve">255 Sule Avenue, Kyauktada Township, Yangon, Myanmar</w:t>
      </w:r>
    </w:p>
    <w:p>
      <w:pPr>
        <w:pStyle w:val="BodyText"/>
      </w:pPr>
      <w:r>
        <w:t xml:space="preserve">Tel: +95-9-795-123-456 | Email: info@yangoneduservices.com.mm</w:t>
      </w:r>
    </w:p>
    <w:p>
      <w:pPr>
        <w:pStyle w:val="BodyText"/>
      </w:pPr>
      <w:r>
        <w:t xml:space="preserve">Company Registration No: 2019012345 | VAT Reg: 012345678</w:t>
      </w:r>
    </w:p>
    <w:bookmarkEnd w:id="20"/>
    <w:p>
      <w:pPr>
        <w:pStyle w:val="BodyText"/>
      </w:pPr>
      <w:r>
        <w:rPr>
          <w:bCs/>
          <w:b/>
        </w:rPr>
        <w:t xml:space="preserve">Quotation No:</w:t>
      </w:r>
      <w:r>
        <w:t xml:space="preserve"> </w:t>
      </w:r>
      <w:r>
        <w:t xml:space="preserve">QTE-YGN-2025-00472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Prepared For:</w:t>
      </w:r>
    </w:p>
    <w:p>
      <w:pPr>
        <w:pStyle w:val="BodyText"/>
      </w:pPr>
      <w:r>
        <w:t xml:space="preserve">Yangon Primary Education Board</w:t>
      </w:r>
    </w:p>
    <w:p>
      <w:pPr>
        <w:pStyle w:val="BodyText"/>
      </w:pPr>
      <w:r>
        <w:t xml:space="preserve">Ministry of Education, Republic of the Union of Myanmar</w:t>
      </w:r>
    </w:p>
    <w:p>
      <w:pPr>
        <w:pStyle w:val="BodyText"/>
      </w:pPr>
      <w:r>
        <w:t xml:space="preserve">Address: 125 Anawrahta Road, Yangon, Myanmar</w:t>
      </w:r>
    </w:p>
    <w:p>
      <w:pPr>
        <w:pStyle w:val="BodyText"/>
      </w:pPr>
      <w:r>
        <w:t xml:space="preserve">Contact: Dr. Aung Kyaw Min, Director</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submitted by Yangon Educational Services Co., Ltd. to the Yangon Primary Education Board for the provision of qualified</w:t>
      </w:r>
      <w:r>
        <w:t xml:space="preserve"> </w:t>
      </w:r>
      <w:r>
        <w:t xml:space="preserve">Teacher Primary</w:t>
      </w:r>
      <w:r>
        <w:t xml:space="preserve"> </w:t>
      </w:r>
      <w:r>
        <w:t xml:space="preserve">personnel and associated educational support services within the administrative boundaries of</w:t>
      </w:r>
      <w:r>
        <w:t xml:space="preserve"> </w:t>
      </w:r>
      <w:r>
        <w:t xml:space="preserve">Myanmar Yangon</w:t>
      </w:r>
      <w:r>
        <w:t xml:space="preserve">. The scope of this quotation encompasses the recruitment, deployment, training, and ongoing professional development of certified primary school teachers across designated school zones in Yangon City, including the townships of Kyauktada, Insein, Hlaing, Dagon, and East Dagon. All services described herein are tailored to meet the national curriculum standards set by the Ministry of Education of the Republic of Myanmar and are specifically designed to enhance the quality of primary education delivery in the Yangon region.</w:t>
      </w:r>
    </w:p>
    <w:p>
      <w:pPr>
        <w:pStyle w:val="BodyText"/>
      </w:pPr>
      <w:r>
        <w:t xml:space="preserve">2. Itemized Services and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(MMK)</w:t>
            </w:r>
          </w:p>
        </w:tc>
        <w:tc>
          <w:tcPr/>
          <w:p>
            <w:pPr>
              <w:pStyle w:val="Compact"/>
              <w:jc w:val="left"/>
            </w:pPr>
            <w:r>
              <w:t xml:space="preserve">Rate (MMK)</w:t>
            </w:r>
          </w:p>
        </w:tc>
        <w:tc>
          <w:tcPr/>
          <w:p>
            <w:pPr>
              <w:pStyle w:val="Compact"/>
              <w:jc w:val="left"/>
            </w:pPr>
            <w:r>
              <w:t xml:space="preserve">Amount (MMK)</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and placement of certified Teacher Primary personnel (Grade 1 &amp; 2) for public primary schools in Yangon</w:t>
            </w:r>
          </w:p>
        </w:tc>
        <w:tc>
          <w:tcPr/>
          <w:p>
            <w:pPr>
              <w:pStyle w:val="Compact"/>
              <w:jc w:val="left"/>
            </w:pPr>
            <w:r>
              <w:t xml:space="preserve">120 teachers</w:t>
            </w:r>
          </w:p>
        </w:tc>
        <w:tc>
          <w:tcPr/>
          <w:p>
            <w:pPr>
              <w:pStyle w:val="Compact"/>
              <w:jc w:val="left"/>
            </w:pPr>
            <w:r>
              <w:t xml:space="preserve">Each</w:t>
            </w:r>
          </w:p>
        </w:tc>
        <w:tc>
          <w:tcPr/>
          <w:p>
            <w:pPr>
              <w:pStyle w:val="Compact"/>
              <w:jc w:val="left"/>
            </w:pPr>
            <w:r>
              <w:t xml:space="preserve">1,850,000</w:t>
            </w:r>
          </w:p>
        </w:tc>
        <w:tc>
          <w:tcPr/>
          <w:p>
            <w:pPr>
              <w:pStyle w:val="Compact"/>
              <w:jc w:val="left"/>
            </w:pPr>
            <w:r>
              <w:t xml:space="preserve">222,000,000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Pre-employment training programme for Teacher Primary candidates (pedagogy, child psychology, Myanmar national curriculum alignment)</w:t>
            </w:r>
          </w:p>
        </w:tc>
        <w:tc>
          <w:tcPr/>
          <w:p>
            <w:pPr>
              <w:pStyle w:val="Compact"/>
              <w:jc w:val="left"/>
            </w:pPr>
            <w:r>
              <w:t xml:space="preserve">120 sessions</w:t>
            </w:r>
          </w:p>
        </w:tc>
        <w:tc>
          <w:tcPr/>
          <w:p>
            <w:pPr>
              <w:pStyle w:val="Compact"/>
              <w:jc w:val="left"/>
            </w:pPr>
            <w:r>
              <w:t xml:space="preserve">Each</w:t>
            </w:r>
          </w:p>
        </w:tc>
        <w:tc>
          <w:tcPr/>
          <w:p>
            <w:pPr>
              <w:pStyle w:val="Compact"/>
              <w:jc w:val="left"/>
            </w:pPr>
            <w:r>
              <w:t xml:space="preserve">450,000</w:t>
            </w:r>
          </w:p>
        </w:tc>
        <w:tc>
          <w:tcPr/>
          <w:p>
            <w:pPr>
              <w:pStyle w:val="Compact"/>
              <w:jc w:val="left"/>
            </w:pPr>
            <w:r>
              <w:t xml:space="preserve">54,000,000</w:t>
            </w:r>
          </w:p>
        </w:tc>
        <w:tc>
          <w:tcPr/>
          <w:p>
            <w:pPr>
              <w:pStyle w:val="Compact"/>
              <w:jc w:val="left"/>
            </w:pPr>
            <w:r>
              <w:t xml:space="preserve">4 weeks</w:t>
            </w:r>
          </w:p>
        </w:tc>
      </w:tr>
      <w:tr>
        <w:tc>
          <w:tcPr/>
          <w:p>
            <w:pPr>
              <w:pStyle w:val="Compact"/>
              <w:jc w:val="left"/>
            </w:pPr>
            <w:r>
              <w:t xml:space="preserve">3</w:t>
            </w:r>
          </w:p>
        </w:tc>
        <w:tc>
          <w:tcPr/>
          <w:p>
            <w:pPr>
              <w:pStyle w:val="Compact"/>
              <w:jc w:val="left"/>
            </w:pPr>
            <w:r>
              <w:t xml:space="preserve">Monthly professional development workshops for deployed Teacher Primary staff (classroom management, inclusive education, digital literacy)</w:t>
            </w:r>
          </w:p>
        </w:tc>
        <w:tc>
          <w:tcPr/>
          <w:p>
            <w:pPr>
              <w:pStyle w:val="Compact"/>
              <w:jc w:val="left"/>
            </w:pPr>
            <w:r>
              <w:t xml:space="preserve">12 workshops</w:t>
            </w:r>
          </w:p>
        </w:tc>
        <w:tc>
          <w:tcPr/>
          <w:p>
            <w:pPr>
              <w:pStyle w:val="Compact"/>
              <w:jc w:val="left"/>
            </w:pPr>
            <w:r>
              <w:t xml:space="preserve">Each</w:t>
            </w:r>
          </w:p>
        </w:tc>
        <w:tc>
          <w:tcPr/>
          <w:p>
            <w:pPr>
              <w:pStyle w:val="Compact"/>
              <w:jc w:val="left"/>
            </w:pPr>
            <w:r>
              <w:t xml:space="preserve">2,800,000</w:t>
            </w:r>
          </w:p>
        </w:tc>
        <w:tc>
          <w:tcPr/>
          <w:p>
            <w:pPr>
              <w:pStyle w:val="Compact"/>
              <w:jc w:val="left"/>
            </w:pPr>
            <w:r>
              <w:t xml:space="preserve">33,600,000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Provision of teaching materials, textbooks, and learning aids for Teacher Primary classrooms (aligned with Myanmar Yangon district curriculum)</w:t>
            </w:r>
          </w:p>
        </w:tc>
        <w:tc>
          <w:tcPr/>
          <w:p>
            <w:pPr>
              <w:pStyle w:val="Compact"/>
              <w:jc w:val="left"/>
            </w:pPr>
            <w:r>
              <w:t xml:space="preserve">120 sets</w:t>
            </w:r>
          </w:p>
        </w:tc>
        <w:tc>
          <w:tcPr/>
          <w:p>
            <w:pPr>
              <w:pStyle w:val="Compact"/>
              <w:jc w:val="left"/>
            </w:pPr>
            <w:r>
              <w:t xml:space="preserve">Each</w:t>
            </w:r>
          </w:p>
        </w:tc>
        <w:tc>
          <w:tcPr/>
          <w:p>
            <w:pPr>
              <w:pStyle w:val="Compact"/>
              <w:jc w:val="left"/>
            </w:pPr>
            <w:r>
              <w:t xml:space="preserve">750,000</w:t>
            </w:r>
          </w:p>
        </w:tc>
        <w:tc>
          <w:tcPr/>
          <w:p>
            <w:pPr>
              <w:pStyle w:val="Compact"/>
              <w:jc w:val="left"/>
            </w:pPr>
            <w:r>
              <w:t xml:space="preserve">90,000,000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Supervisory visits and performance evaluation by senior Teacher Primary coordinators across all Yangon school zones</w:t>
            </w:r>
          </w:p>
        </w:tc>
        <w:tc>
          <w:tcPr/>
          <w:p>
            <w:pPr>
              <w:pStyle w:val="Compact"/>
              <w:jc w:val="left"/>
            </w:pPr>
            <w:r>
              <w:t xml:space="preserve">48 visits</w:t>
            </w:r>
          </w:p>
        </w:tc>
        <w:tc>
          <w:tcPr/>
          <w:p>
            <w:pPr>
              <w:pStyle w:val="Compact"/>
              <w:jc w:val="left"/>
            </w:pPr>
            <w:r>
              <w:t xml:space="preserve">Each</w:t>
            </w:r>
          </w:p>
        </w:tc>
        <w:tc>
          <w:tcPr/>
          <w:p>
            <w:pPr>
              <w:pStyle w:val="Compact"/>
              <w:jc w:val="left"/>
            </w:pPr>
            <w:r>
              <w:t xml:space="preserve">350,000</w:t>
            </w:r>
          </w:p>
        </w:tc>
        <w:tc>
          <w:tcPr/>
          <w:p>
            <w:pPr>
              <w:pStyle w:val="Compact"/>
              <w:jc w:val="left"/>
            </w:pPr>
            <w:r>
              <w:t xml:space="preserve">16,800,000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Administrative support, record-keeping, and reporting services for Teacher Primary deployment in Myanmar Yangon</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Health insurance and occupational safety coverage for all Teacher Primary personnel</w:t>
            </w:r>
          </w:p>
        </w:tc>
        <w:tc>
          <w:tcPr/>
          <w:p>
            <w:pPr>
              <w:pStyle w:val="Compact"/>
              <w:jc w:val="left"/>
            </w:pPr>
            <w:r>
              <w:t xml:space="preserve">120 persons</w:t>
            </w:r>
          </w:p>
        </w:tc>
        <w:tc>
          <w:tcPr/>
          <w:p>
            <w:pPr>
              <w:pStyle w:val="Compact"/>
              <w:jc w:val="left"/>
            </w:pPr>
            <w:r>
              <w:t xml:space="preserve">Each</w:t>
            </w:r>
          </w:p>
        </w:tc>
        <w:tc>
          <w:tcPr/>
          <w:p>
            <w:pPr>
              <w:pStyle w:val="Compact"/>
              <w:jc w:val="left"/>
            </w:pPr>
            <w:r>
              <w:t xml:space="preserve">1,200,000</w:t>
            </w:r>
          </w:p>
        </w:tc>
        <w:tc>
          <w:tcPr/>
          <w:p>
            <w:pPr>
              <w:pStyle w:val="Compact"/>
              <w:jc w:val="left"/>
            </w:pPr>
            <w:r>
              <w:t xml:space="preserve">144,000,000</w:t>
            </w:r>
          </w:p>
        </w:tc>
        <w:tc>
          <w:tcPr/>
          <w:p>
            <w:pPr>
              <w:pStyle w:val="Compact"/>
              <w:jc w:val="left"/>
            </w:pPr>
            <w:r>
              <w:t xml:space="preserve">12 months</w:t>
            </w:r>
          </w:p>
        </w:tc>
      </w:tr>
      <w:tr>
        <w:tc>
          <w:tcPr>
            <w:gridSpan w:val="5"/>
          </w:tcPr>
          <w:p>
            <w:pPr>
              <w:pStyle w:val="Compact"/>
              <w:jc w:val="left"/>
            </w:pPr>
            <w:r>
              <w:t xml:space="preserve">TOTAL ESTIMATED COST (Before VAT)</w:t>
            </w:r>
          </w:p>
        </w:tc>
        <w:tc>
          <w:tcPr/>
          <w:p>
            <w:pPr>
              <w:pStyle w:val="Compact"/>
              <w:jc w:val="left"/>
            </w:pPr>
            <w:r>
              <w:t xml:space="preserve">588,400,000</w:t>
            </w:r>
          </w:p>
        </w:tc>
        <w:tc>
          <w:tcPr/>
          <w:p>
            <w:pPr>
              <w:pStyle w:val="Compact"/>
              <w:jc w:val="left"/>
            </w:pPr>
            <w:r>
              <w:t xml:space="preserve">—</w:t>
            </w:r>
          </w:p>
        </w:tc>
      </w:tr>
      <w:tr>
        <w:tc>
          <w:tcPr>
            <w:gridSpan w:val="5"/>
          </w:tcPr>
          <w:p>
            <w:pPr>
              <w:pStyle w:val="Compact"/>
              <w:jc w:val="left"/>
            </w:pPr>
            <w:r>
              <w:t xml:space="preserve">VAT (5%)</w:t>
            </w:r>
          </w:p>
        </w:tc>
        <w:tc>
          <w:tcPr/>
          <w:p>
            <w:pPr>
              <w:pStyle w:val="Compact"/>
              <w:jc w:val="left"/>
            </w:pPr>
            <w:r>
              <w:t xml:space="preserve">29,420,000</w:t>
            </w:r>
          </w:p>
        </w:tc>
        <w:tc>
          <w:tcPr/>
          <w:p>
            <w:pPr>
              <w:pStyle w:val="Compact"/>
              <w:jc w:val="left"/>
            </w:pPr>
            <w:r>
              <w:t xml:space="preserve">—</w:t>
            </w:r>
          </w:p>
        </w:tc>
      </w:tr>
      <w:tr>
        <w:tc>
          <w:tcPr>
            <w:gridSpan w:val="5"/>
          </w:tcPr>
          <w:p>
            <w:pPr>
              <w:pStyle w:val="Compact"/>
              <w:jc w:val="left"/>
            </w:pPr>
            <w:r>
              <w:t xml:space="preserve">GRAND TOTAL (Incl. VAT)</w:t>
            </w:r>
          </w:p>
        </w:tc>
        <w:tc>
          <w:tcPr/>
          <w:p>
            <w:pPr>
              <w:pStyle w:val="Compact"/>
              <w:jc w:val="left"/>
            </w:pPr>
            <w:r>
              <w:t xml:space="preserve">617,820,000</w:t>
            </w:r>
          </w:p>
        </w:tc>
        <w:tc>
          <w:tcPr/>
          <w:p>
            <w:pPr>
              <w:pStyle w:val="Compact"/>
              <w:jc w:val="left"/>
            </w:pPr>
            <w:r>
              <w:t xml:space="preserve">—</w:t>
            </w:r>
          </w:p>
        </w:tc>
      </w:tr>
    </w:tbl>
    <w:p>
      <w:pPr>
        <w:pStyle w:val="BodyText"/>
      </w:pPr>
      <w:r>
        <w:t xml:space="preserve">All amounts are quoted in Myanmar Kyat (MMK). Exchange rate reference: 1 USD ≈ 4,850 MMK (as of June 2025, Central Bank of Myanmar). Total in USD equivalent: approximately USD 127,385.57.</w:t>
      </w:r>
    </w:p>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w:t>
      </w:r>
      <w:r>
        <w:t xml:space="preserve"> </w:t>
      </w:r>
      <w:r>
        <w:t xml:space="preserve">Myanmar Yangon</w:t>
      </w:r>
      <w:r>
        <w:t xml:space="preserve">.</w:t>
      </w:r>
    </w:p>
    <w:p>
      <w:pPr>
        <w:numPr>
          <w:ilvl w:val="0"/>
          <w:numId w:val="1001"/>
        </w:numPr>
        <w:pStyle w:val="Compact"/>
      </w:pPr>
      <w:r>
        <w:t xml:space="preserve">Payment terms: 30% advance payment upon contract signing, 40% upon successful deployment of all</w:t>
      </w:r>
      <w:r>
        <w:t xml:space="preserve"> </w:t>
      </w:r>
      <w:r>
        <w:t xml:space="preserve">Teacher Primary</w:t>
      </w:r>
      <w:r>
        <w:t xml:space="preserve"> </w:t>
      </w:r>
      <w:r>
        <w:t xml:space="preserve">personnel, and 30% upon completion of the twelve-month service period and final performance review.</w:t>
      </w:r>
    </w:p>
    <w:p>
      <w:pPr>
        <w:numPr>
          <w:ilvl w:val="0"/>
          <w:numId w:val="1001"/>
        </w:numPr>
        <w:pStyle w:val="Compact"/>
      </w:pPr>
      <w:r>
        <w:t xml:space="preserve">All</w:t>
      </w:r>
      <w:r>
        <w:t xml:space="preserve"> </w:t>
      </w:r>
      <w:r>
        <w:t xml:space="preserve">Teacher Primary</w:t>
      </w:r>
      <w:r>
        <w:t xml:space="preserve"> </w:t>
      </w:r>
      <w:r>
        <w:t xml:space="preserve">candidates must hold a minimum of a Bachelor's degree in Education (Primary) from a recognised institution in Myanmar, along with a valid teaching licence issued by the Ministry of Education.</w:t>
      </w:r>
    </w:p>
    <w:p>
      <w:pPr>
        <w:numPr>
          <w:ilvl w:val="0"/>
          <w:numId w:val="1001"/>
        </w:numPr>
        <w:pStyle w:val="Compact"/>
      </w:pPr>
      <w:r>
        <w:t xml:space="preserve">The service provider shall comply with all labour laws, education regulations, and local by-laws applicable within the Yangon Region of the Republic of Myanmar.</w:t>
      </w:r>
    </w:p>
    <w:p>
      <w:pPr>
        <w:numPr>
          <w:ilvl w:val="0"/>
          <w:numId w:val="1001"/>
        </w:numPr>
        <w:pStyle w:val="Compact"/>
      </w:pPr>
      <w:r>
        <w:t xml:space="preserve">Any changes to the scope of work, number of</w:t>
      </w:r>
      <w:r>
        <w:t xml:space="preserve"> </w:t>
      </w:r>
      <w:r>
        <w:t xml:space="preserve">Teacher Primary</w:t>
      </w:r>
      <w:r>
        <w:t xml:space="preserve"> </w:t>
      </w:r>
      <w:r>
        <w:t xml:space="preserve">personnel, or service locations within</w:t>
      </w:r>
      <w:r>
        <w:t xml:space="preserve"> </w:t>
      </w:r>
      <w:r>
        <w:t xml:space="preserve">Myanmar Yangon</w:t>
      </w:r>
      <w:r>
        <w:t xml:space="preserve"> </w:t>
      </w:r>
      <w:r>
        <w:t xml:space="preserve">must be agreed upon in writing by both parties prior to implementation.</w:t>
      </w:r>
    </w:p>
    <w:p>
      <w:pPr>
        <w:numPr>
          <w:ilvl w:val="0"/>
          <w:numId w:val="1001"/>
        </w:numPr>
        <w:pStyle w:val="Compact"/>
      </w:pPr>
      <w:r>
        <w:t xml:space="preserve">Force majeure events, including but not limited to natural disasters, government policy changes, or public health emergencies affecting Yangon, shall be addressed through mutual consultation and may result in schedule adjustments without penalty to either party.</w:t>
      </w:r>
    </w:p>
    <w:p>
      <w:pPr>
        <w:numPr>
          <w:ilvl w:val="0"/>
          <w:numId w:val="1001"/>
        </w:numPr>
        <w:pStyle w:val="Compact"/>
      </w:pPr>
      <w:r>
        <w:t xml:space="preserve">Disputes arising from this quotation and subsequent contract shall be resolved through amicable negotiation, failing which they shall be referred to the competent courts in Yangon, Myanmar.</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FirstParagraph"/>
      </w:pPr>
      <w:r>
        <w:t xml:space="preserve">4.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provision of</w:t>
      </w:r>
      <w:r>
        <w:t xml:space="preserve"> </w:t>
      </w:r>
      <w:r>
        <w:t xml:space="preserve">Teacher Primary</w:t>
      </w:r>
      <w:r>
        <w:t xml:space="preserve"> </w:t>
      </w:r>
      <w:r>
        <w:t xml:space="preserve">services in</w:t>
      </w:r>
      <w:r>
        <w:t xml:space="preserve"> </w:t>
      </w:r>
      <w:r>
        <w:t xml:space="preserve">Myanmar Yangon</w:t>
      </w:r>
      <w:r>
        <w:t xml:space="preserve">. This acceptance shall serve as the basis for the preparation of a formal service contract.</w:t>
      </w:r>
    </w:p>
    <w:p>
      <w:pPr>
        <w:pStyle w:val="BodyText"/>
      </w:pPr>
      <w:r>
        <w:rPr>
          <w:bCs/>
          <w:b/>
        </w:rPr>
        <w:t xml:space="preserve">For and on behalf of Yangon Educational Services Co., Ltd.</w:t>
      </w:r>
      <w:r>
        <w:br/>
      </w:r>
      <w:r>
        <w:t xml:space="preserve">Name: U Thura Win Aung</w:t>
      </w:r>
      <w:r>
        <w:br/>
      </w:r>
      <w:r>
        <w:t xml:space="preserve">Title: Managing Director</w:t>
      </w:r>
      <w:r>
        <w:br/>
      </w:r>
      <w:r>
        <w:t xml:space="preserve">Date: _______________</w:t>
      </w:r>
    </w:p>
    <w:p>
      <w:pPr>
        <w:pStyle w:val="BodyText"/>
      </w:pPr>
      <w:r>
        <w:rPr>
          <w:bCs/>
          <w:b/>
        </w:rPr>
        <w:t xml:space="preserve">For and on behalf of Yangon Primary Education Board</w:t>
      </w:r>
      <w:r>
        <w:br/>
      </w:r>
      <w:r>
        <w:t xml:space="preserve">Name: Dr. Aung Kyaw Min</w:t>
      </w:r>
      <w:r>
        <w:br/>
      </w:r>
      <w:r>
        <w:t xml:space="preserve">Title: Director</w:t>
      </w:r>
      <w:r>
        <w:br/>
      </w:r>
      <w:r>
        <w:t xml:space="preserve">Date: _______________</w:t>
      </w:r>
    </w:p>
    <w:p>
      <w:pPr>
        <w:pStyle w:val="BodyText"/>
      </w:pPr>
      <w:r>
        <w:t xml:space="preserve">This Quotation Estimate document was prepared exclusively for the Yangon Primary Education Board, Myanmar Yangon. It is not transferable and may not be reproduced without written consent. Document Ref: QTE-YGN-2025-00472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Services - Myanmar Yangon</dc:title>
  <dc:creator/>
  <dc:language>en</dc:language>
  <cp:keywords/>
  <dcterms:created xsi:type="dcterms:W3CDTF">2026-10-10T02:23:19Z</dcterms:created>
  <dcterms:modified xsi:type="dcterms:W3CDTF">2026-10-10T02:23:19Z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