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Educational Staffing Services</w:t>
      </w:r>
    </w:p>
    <w:p>
      <w:pPr>
        <w:pStyle w:val="BodyText"/>
      </w:pPr>
      <w:r>
        <w:t xml:space="preserve">Position: Teacher Primary | Location: Netherlands Amsterdam</w:t>
      </w:r>
    </w:p>
    <w:p>
      <w:pPr>
        <w:pStyle w:val="BodyText"/>
      </w:pPr>
      <w:r>
        <w:t xml:space="preserve">Document Reference: QE-2025-AMST-0847 | Status:</w:t>
      </w:r>
      <w:r>
        <w:t xml:space="preserve"> </w:t>
      </w:r>
      <w:r>
        <w:t xml:space="preserve">VALID</w:t>
      </w:r>
    </w:p>
    <w:bookmarkEnd w:id="20"/>
    <w:p>
      <w:pPr>
        <w:pStyle w:val="BodyText"/>
      </w:pPr>
      <w:r>
        <w:rPr>
          <w:bCs/>
          <w:b/>
        </w:rPr>
        <w:t xml:space="preserve">Prepared By:</w:t>
      </w:r>
      <w:r>
        <w:br/>
      </w:r>
      <w:r>
        <w:t xml:space="preserve">EduStaff International B.V.</w:t>
      </w:r>
      <w:r>
        <w:br/>
      </w:r>
      <w:r>
        <w:t xml:space="preserve">Herengracht 420, 1017 CA</w:t>
      </w:r>
      <w:r>
        <w:br/>
      </w:r>
      <w:r>
        <w:t xml:space="preserve">Amsterdam, Netherlands</w:t>
      </w:r>
      <w:r>
        <w:br/>
      </w:r>
      <w:r>
        <w:t xml:space="preserve">Tel: +31 (0)20 555 0142</w:t>
      </w:r>
      <w:r>
        <w:br/>
      </w:r>
      <w:r>
        <w:t xml:space="preserve">Email: quotations@edustaff.nl</w:t>
      </w:r>
    </w:p>
    <w:p>
      <w:pPr>
        <w:pStyle w:val="BodyText"/>
      </w:pPr>
      <w:r>
        <w:rPr>
          <w:bCs/>
          <w:b/>
        </w:rPr>
        <w:t xml:space="preserve">Prepared For:</w:t>
      </w:r>
      <w:r>
        <w:br/>
      </w:r>
      <w:r>
        <w:t xml:space="preserve">International Primary School Amsterdam</w:t>
      </w:r>
      <w:r>
        <w:br/>
      </w:r>
      <w:r>
        <w:t xml:space="preserve">Prinsengracht 88, 1015 KZ</w:t>
      </w:r>
      <w:r>
        <w:br/>
      </w:r>
      <w:r>
        <w:t xml:space="preserve">Amsterdam, Netherlands</w:t>
      </w:r>
      <w:r>
        <w:br/>
      </w:r>
      <w:r>
        <w:t xml:space="preserve">Contact: Dr. Maria van der Berg</w:t>
      </w:r>
      <w:r>
        <w:br/>
      </w:r>
      <w:r>
        <w:t xml:space="preserve">Email: m.vanderberg@ipsamsterdam.nl</w:t>
      </w:r>
    </w:p>
    <w:p>
      <w:pPr>
        <w:pStyle w:val="BodyText"/>
      </w:pPr>
      <w:r>
        <w:rPr>
          <w:bCs/>
          <w:b/>
        </w:rPr>
        <w:t xml:space="preserve">Quotation Date:</w:t>
      </w:r>
      <w:r>
        <w:br/>
      </w:r>
      <w:r>
        <w:t xml:space="preserve">15 June 2025</w:t>
      </w:r>
      <w:r>
        <w:br/>
      </w:r>
      <w:r>
        <w:br/>
      </w:r>
      <w:r>
        <w:rPr>
          <w:bCs/>
          <w:b/>
        </w:rPr>
        <w:t xml:space="preserve">Valid Until:</w:t>
      </w:r>
      <w:r>
        <w:br/>
      </w:r>
      <w:r>
        <w:t xml:space="preserve">15 September 2025</w:t>
      </w:r>
      <w:r>
        <w:br/>
      </w:r>
      <w:r>
        <w:br/>
      </w:r>
      <w:r>
        <w:rPr>
          <w:bCs/>
          <w:b/>
        </w:rPr>
        <w:t xml:space="preserve">Contract Period:</w:t>
      </w:r>
      <w:r>
        <w:br/>
      </w:r>
      <w:r>
        <w:t xml:space="preserve">1 September 2025 – 31 August 2026</w:t>
      </w:r>
    </w:p>
    <w:bookmarkStart w:id="21" w:name="purpose-of-this-quotation-estimate"/>
    <w:p>
      <w:pPr>
        <w:pStyle w:val="Heading2"/>
      </w:pPr>
      <w:r>
        <w:t xml:space="preserve">1. Purpose of This Quotation Estimate</w:t>
      </w:r>
    </w:p>
    <w:p>
      <w:pPr>
        <w:pStyle w:val="FirstParagraph"/>
      </w:pPr>
      <w:r>
        <w:t xml:space="preserve">This Quotation Estimate document is issued by EduStaff International B.V. to provide a comprehensive and transparent financial overview for the recruitment, placement, and ongoing support of a qualified</w:t>
      </w:r>
      <w:r>
        <w:t xml:space="preserve"> </w:t>
      </w:r>
      <w:r>
        <w:rPr>
          <w:bCs/>
          <w:b/>
        </w:rPr>
        <w:t xml:space="preserve">Teacher Primary</w:t>
      </w:r>
      <w:r>
        <w:t xml:space="preserve"> </w:t>
      </w:r>
      <w:r>
        <w:t xml:space="preserve">position at the International Primary School Amsterdam. This estimate covers all professional services, compensation, statutory obligations, and ancillary costs associated with employing a Teacher Primary in the Netherlands Amsterdam region for the academic year 2025/2026. All figures presented herein are in Euros (EUR) and comply with the Dutch Collective Labour Agreement for Primary Education (CAO PO) as well as applicable municipal regulations in Amsterdam.</w:t>
      </w:r>
    </w:p>
    <w:bookmarkEnd w:id="21"/>
    <w:bookmarkStart w:id="22" w:name="Xac218c77343df62dbe437309ba9f6d7dfedad79"/>
    <w:p>
      <w:pPr>
        <w:pStyle w:val="Heading2"/>
      </w:pPr>
      <w:r>
        <w:t xml:space="preserve">2. Scope of Services – Teacher Primary Position</w:t>
      </w:r>
    </w:p>
    <w:p>
      <w:pPr>
        <w:pStyle w:val="FirstParagraph"/>
      </w:pPr>
      <w:r>
        <w:t xml:space="preserve">The Teacher Primary role, as defined within this Quotation Estimate, encompasses the following professional responsibilities and service deliverables:</w:t>
      </w:r>
    </w:p>
    <w:p>
      <w:pPr>
        <w:numPr>
          <w:ilvl w:val="0"/>
          <w:numId w:val="1001"/>
        </w:numPr>
        <w:pStyle w:val="Compact"/>
      </w:pPr>
      <w:r>
        <w:t xml:space="preserve">Full-time classroom instruction for primary school students (ages 4–12) across all core subjects including Dutch language, mathematics, science, social studies, arts, and physical education.</w:t>
      </w:r>
    </w:p>
    <w:p>
      <w:pPr>
        <w:numPr>
          <w:ilvl w:val="0"/>
          <w:numId w:val="1001"/>
        </w:numPr>
        <w:pStyle w:val="Compact"/>
      </w:pPr>
      <w:r>
        <w:t xml:space="preserve">Development and delivery of a differentiated curriculum aligned with the Dutch national primary education framework (Kerndoelen) and the specific pedagogical philosophy of the International Primary School Amsterdam.</w:t>
      </w:r>
    </w:p>
    <w:p>
      <w:pPr>
        <w:numPr>
          <w:ilvl w:val="0"/>
          <w:numId w:val="1001"/>
        </w:numPr>
        <w:pStyle w:val="Compact"/>
      </w:pPr>
      <w:r>
        <w:t xml:space="preserve">Assessment, monitoring, and reporting of student progress in accordance with Dutch educational standards and the school's internal evaluation protocols.</w:t>
      </w:r>
    </w:p>
    <w:p>
      <w:pPr>
        <w:numPr>
          <w:ilvl w:val="0"/>
          <w:numId w:val="1001"/>
        </w:numPr>
        <w:pStyle w:val="Compact"/>
      </w:pPr>
      <w:r>
        <w:t xml:space="preserve">Participation in staff meetings, parent-teacher conferences, school events, and professional development workshops as scheduled by the school administration in Amsterdam.</w:t>
      </w:r>
    </w:p>
    <w:p>
      <w:pPr>
        <w:numPr>
          <w:ilvl w:val="0"/>
          <w:numId w:val="1001"/>
        </w:numPr>
        <w:pStyle w:val="Compact"/>
      </w:pPr>
      <w:r>
        <w:t xml:space="preserve">Mentorship and collaboration with teaching assistants, special education coordinators, and the school's pedagogical team.</w:t>
      </w:r>
    </w:p>
    <w:p>
      <w:pPr>
        <w:numPr>
          <w:ilvl w:val="0"/>
          <w:numId w:val="1001"/>
        </w:numPr>
        <w:pStyle w:val="Compact"/>
      </w:pPr>
      <w:r>
        <w:t xml:space="preserve">Compliance with all Dutch safeguarding regulations (Wet op het Primair Onderwijs) and the school's child protection policy.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Base Annual Salary – Teacher Primary (CAO PO Scale 11, Amsterdam municipal supplement included)</w:t>
            </w:r>
          </w:p>
        </w:tc>
        <w:tc>
          <w:tcPr/>
          <w:p>
            <w:pPr>
              <w:pStyle w:val="Compact"/>
              <w:jc w:val="left"/>
            </w:pPr>
            <w:r>
              <w:t xml:space="preserve">Annual</w:t>
            </w:r>
          </w:p>
        </w:tc>
        <w:tc>
          <w:tcPr/>
          <w:p>
            <w:pPr>
              <w:pStyle w:val="Compact"/>
              <w:jc w:val="left"/>
            </w:pPr>
            <w:r>
              <w:t xml:space="preserve">€58,400.00</w:t>
            </w:r>
          </w:p>
        </w:tc>
      </w:tr>
      <w:tr>
        <w:tc>
          <w:tcPr/>
          <w:p>
            <w:pPr>
              <w:pStyle w:val="Compact"/>
              <w:jc w:val="left"/>
            </w:pPr>
            <w:r>
              <w:t xml:space="preserve">3.2</w:t>
            </w:r>
          </w:p>
        </w:tc>
        <w:tc>
          <w:tcPr/>
          <w:p>
            <w:pPr>
              <w:pStyle w:val="Compact"/>
              <w:jc w:val="left"/>
            </w:pPr>
            <w:r>
              <w:t xml:space="preserve">Statutory Employer Contributions (Pensioen, Ziektengeld, Werkloosheid – approx. 22.5%)</w:t>
            </w:r>
          </w:p>
        </w:tc>
        <w:tc>
          <w:tcPr/>
          <w:p>
            <w:pPr>
              <w:pStyle w:val="Compact"/>
              <w:jc w:val="left"/>
            </w:pPr>
            <w:r>
              <w:t xml:space="preserve">Annual</w:t>
            </w:r>
          </w:p>
        </w:tc>
        <w:tc>
          <w:tcPr/>
          <w:p>
            <w:pPr>
              <w:pStyle w:val="Compact"/>
              <w:jc w:val="left"/>
            </w:pPr>
            <w:r>
              <w:t xml:space="preserve">€13,140.00</w:t>
            </w:r>
          </w:p>
        </w:tc>
      </w:tr>
      <w:tr>
        <w:tc>
          <w:tcPr/>
          <w:p>
            <w:pPr>
              <w:pStyle w:val="Compact"/>
              <w:jc w:val="left"/>
            </w:pPr>
            <w:r>
              <w:t xml:space="preserve">3.3</w:t>
            </w:r>
          </w:p>
        </w:tc>
        <w:tc>
          <w:tcPr/>
          <w:p>
            <w:pPr>
              <w:pStyle w:val="Compact"/>
              <w:jc w:val="left"/>
            </w:pPr>
            <w:r>
              <w:t xml:space="preserve">Recruitment &amp; Placement Fee (sourcing, vetting, visa support for international candidates)</w:t>
            </w:r>
          </w:p>
        </w:tc>
        <w:tc>
          <w:tcPr/>
          <w:p>
            <w:pPr>
              <w:pStyle w:val="Compact"/>
              <w:jc w:val="left"/>
            </w:pPr>
            <w:r>
              <w:t xml:space="preserve">One-time</w:t>
            </w:r>
          </w:p>
        </w:tc>
        <w:tc>
          <w:tcPr/>
          <w:p>
            <w:pPr>
              <w:pStyle w:val="Compact"/>
              <w:jc w:val="left"/>
            </w:pPr>
            <w:r>
              <w:t xml:space="preserve">€4,250.00</w:t>
            </w:r>
          </w:p>
        </w:tc>
      </w:tr>
      <w:tr>
        <w:tc>
          <w:tcPr/>
          <w:p>
            <w:pPr>
              <w:pStyle w:val="Compact"/>
              <w:jc w:val="left"/>
            </w:pPr>
            <w:r>
              <w:t xml:space="preserve">3.4</w:t>
            </w:r>
          </w:p>
        </w:tc>
        <w:tc>
          <w:tcPr/>
          <w:p>
            <w:pPr>
              <w:pStyle w:val="Compact"/>
              <w:jc w:val="left"/>
            </w:pPr>
            <w:r>
              <w:t xml:space="preserve">Onboarding &amp; Induction Programme (Dutch education law orientation, school-specific training, safeguarding certification)</w:t>
            </w:r>
          </w:p>
        </w:tc>
        <w:tc>
          <w:tcPr/>
          <w:p>
            <w:pPr>
              <w:pStyle w:val="Compact"/>
              <w:jc w:val="left"/>
            </w:pPr>
            <w:r>
              <w:t xml:space="preserve">One-time</w:t>
            </w:r>
          </w:p>
        </w:tc>
        <w:tc>
          <w:tcPr/>
          <w:p>
            <w:pPr>
              <w:pStyle w:val="Compact"/>
              <w:jc w:val="left"/>
            </w:pPr>
            <w:r>
              <w:t xml:space="preserve">€1,800.00</w:t>
            </w:r>
          </w:p>
        </w:tc>
      </w:tr>
      <w:tr>
        <w:tc>
          <w:tcPr/>
          <w:p>
            <w:pPr>
              <w:pStyle w:val="Compact"/>
              <w:jc w:val="left"/>
            </w:pPr>
            <w:r>
              <w:t xml:space="preserve">3.5</w:t>
            </w:r>
          </w:p>
        </w:tc>
        <w:tc>
          <w:tcPr/>
          <w:p>
            <w:pPr>
              <w:pStyle w:val="Compact"/>
              <w:jc w:val="left"/>
            </w:pPr>
            <w:r>
              <w:t xml:space="preserve">Annual Professional Development Allowance (conferences, CPD courses, teaching methodology workshops in Amsterdam)</w:t>
            </w:r>
          </w:p>
        </w:tc>
        <w:tc>
          <w:tcPr/>
          <w:p>
            <w:pPr>
              <w:pStyle w:val="Compact"/>
              <w:jc w:val="left"/>
            </w:pPr>
            <w:r>
              <w:t xml:space="preserve">Annual</w:t>
            </w:r>
          </w:p>
        </w:tc>
        <w:tc>
          <w:tcPr/>
          <w:p>
            <w:pPr>
              <w:pStyle w:val="Compact"/>
              <w:jc w:val="left"/>
            </w:pPr>
            <w:r>
              <w:t xml:space="preserve">€2,500.00</w:t>
            </w:r>
          </w:p>
        </w:tc>
      </w:tr>
      <w:tr>
        <w:tc>
          <w:tcPr/>
          <w:p>
            <w:pPr>
              <w:pStyle w:val="Compact"/>
              <w:jc w:val="left"/>
            </w:pPr>
            <w:r>
              <w:t xml:space="preserve">3.6</w:t>
            </w:r>
          </w:p>
        </w:tc>
        <w:tc>
          <w:tcPr/>
          <w:p>
            <w:pPr>
              <w:pStyle w:val="Compact"/>
              <w:jc w:val="left"/>
            </w:pPr>
            <w:r>
              <w:t xml:space="preserve">Administrative &amp; HR Management Fee (payroll processing, contract management, CAO compliance monitoring)</w:t>
            </w:r>
          </w:p>
        </w:tc>
        <w:tc>
          <w:tcPr/>
          <w:p>
            <w:pPr>
              <w:pStyle w:val="Compact"/>
              <w:jc w:val="left"/>
            </w:pPr>
            <w:r>
              <w:t xml:space="preserve">Annual</w:t>
            </w:r>
          </w:p>
        </w:tc>
        <w:tc>
          <w:tcPr/>
          <w:p>
            <w:pPr>
              <w:pStyle w:val="Compact"/>
              <w:jc w:val="left"/>
            </w:pPr>
            <w:r>
              <w:t xml:space="preserve">€3,600.00</w:t>
            </w:r>
          </w:p>
        </w:tc>
      </w:tr>
      <w:tr>
        <w:tc>
          <w:tcPr/>
          <w:p>
            <w:pPr>
              <w:pStyle w:val="Compact"/>
              <w:jc w:val="left"/>
            </w:pPr>
            <w:r>
              <w:t xml:space="preserve">3.7</w:t>
            </w:r>
          </w:p>
        </w:tc>
        <w:tc>
          <w:tcPr/>
          <w:p>
            <w:pPr>
              <w:pStyle w:val="Compact"/>
              <w:jc w:val="left"/>
            </w:pPr>
            <w:r>
              <w:t xml:space="preserve">Liability Insurance &amp; Professional Indemnity Coverage (Teacher Primary specific)</w:t>
            </w:r>
          </w:p>
        </w:tc>
        <w:tc>
          <w:tcPr/>
          <w:p>
            <w:pPr>
              <w:pStyle w:val="Compact"/>
              <w:jc w:val="left"/>
            </w:pPr>
            <w:r>
              <w:t xml:space="preserve">Annual</w:t>
            </w:r>
          </w:p>
        </w:tc>
        <w:tc>
          <w:tcPr/>
          <w:p>
            <w:pPr>
              <w:pStyle w:val="Compact"/>
              <w:jc w:val="left"/>
            </w:pPr>
            <w:r>
              <w:t xml:space="preserve">€950.00</w:t>
            </w:r>
          </w:p>
        </w:tc>
      </w:tr>
      <w:tr>
        <w:tc>
          <w:tcPr/>
          <w:p>
            <w:pPr>
              <w:pStyle w:val="Compact"/>
              <w:jc w:val="left"/>
            </w:pPr>
            <w:r>
              <w:t xml:space="preserve">3.8</w:t>
            </w:r>
          </w:p>
        </w:tc>
        <w:tc>
          <w:tcPr/>
          <w:p>
            <w:pPr>
              <w:pStyle w:val="Compact"/>
              <w:jc w:val="left"/>
            </w:pPr>
            <w:r>
              <w:t xml:space="preserve">Relocation &amp; Settlement Assistance (housing search in Amsterdam, municipal registration, language support – applicable to international hires)</w:t>
            </w:r>
          </w:p>
        </w:tc>
        <w:tc>
          <w:tcPr/>
          <w:p>
            <w:pPr>
              <w:pStyle w:val="Compact"/>
              <w:jc w:val="left"/>
            </w:pPr>
            <w:r>
              <w:t xml:space="preserve">One-time</w:t>
            </w:r>
          </w:p>
        </w:tc>
        <w:tc>
          <w:tcPr/>
          <w:p>
            <w:pPr>
              <w:pStyle w:val="Compact"/>
              <w:jc w:val="left"/>
            </w:pPr>
            <w:r>
              <w:t xml:space="preserve">€3,200.00</w:t>
            </w:r>
          </w:p>
        </w:tc>
      </w:tr>
      <w:tr>
        <w:tc>
          <w:tcPr/>
          <w:p>
            <w:pPr>
              <w:pStyle w:val="Compact"/>
              <w:jc w:val="left"/>
            </w:pPr>
            <w:r>
              <w:t xml:space="preserve">3.9</w:t>
            </w:r>
          </w:p>
        </w:tc>
        <w:tc>
          <w:tcPr/>
          <w:p>
            <w:pPr>
              <w:pStyle w:val="Compact"/>
              <w:jc w:val="left"/>
            </w:pPr>
            <w:r>
              <w:t xml:space="preserve">Contingency &amp; Miscellaneous (temporary cover, overtime, exam period surcharges)</w:t>
            </w:r>
          </w:p>
        </w:tc>
        <w:tc>
          <w:tcPr/>
          <w:p>
            <w:pPr>
              <w:pStyle w:val="Compact"/>
              <w:jc w:val="left"/>
            </w:pPr>
            <w:r>
              <w:t xml:space="preserve">Annual</w:t>
            </w:r>
          </w:p>
        </w:tc>
        <w:tc>
          <w:tcPr/>
          <w:p>
            <w:pPr>
              <w:pStyle w:val="Compact"/>
              <w:jc w:val="left"/>
            </w:pPr>
            <w:r>
              <w:t xml:space="preserve">€1,750.00</w:t>
            </w:r>
          </w:p>
        </w:tc>
      </w:tr>
      <w:tr>
        <w:tc>
          <w:tcPr>
            <w:gridSpan w:val="3"/>
          </w:tcPr>
          <w:p>
            <w:pPr>
              <w:pStyle w:val="Compact"/>
              <w:jc w:val="left"/>
            </w:pPr>
            <w:r>
              <w:t xml:space="preserve">TOTAL ESTIMATED COST – ACADEMIC YEAR 2025/2026</w:t>
            </w:r>
          </w:p>
        </w:tc>
        <w:tc>
          <w:tcPr/>
          <w:p>
            <w:pPr>
              <w:pStyle w:val="Compact"/>
              <w:jc w:val="left"/>
            </w:pPr>
            <w:r>
              <w:t xml:space="preserve">€90,590.00</w:t>
            </w:r>
          </w:p>
        </w:tc>
      </w:tr>
    </w:tbl>
    <w:bookmarkEnd w:id="23"/>
    <w:bookmarkStart w:id="24" w:name="payment-schedule"/>
    <w:p>
      <w:pPr>
        <w:pStyle w:val="Heading2"/>
      </w:pPr>
      <w:r>
        <w:t xml:space="preserve">4. Payment Schedule</w:t>
      </w:r>
    </w:p>
    <w:p>
      <w:pPr>
        <w:pStyle w:val="FirstParagraph"/>
      </w:pPr>
      <w:r>
        <w:t xml:space="preserve">In accordance with the terms of this Quotation Estimate, payment shall be structured as follows:</w:t>
      </w:r>
    </w:p>
    <w:p>
      <w:pPr>
        <w:numPr>
          <w:ilvl w:val="0"/>
          <w:numId w:val="1002"/>
        </w:numPr>
        <w:pStyle w:val="Compact"/>
      </w:pPr>
      <w:r>
        <w:rPr>
          <w:bCs/>
          <w:b/>
        </w:rPr>
        <w:t xml:space="preserve">30% advance payment</w:t>
      </w:r>
      <w:r>
        <w:t xml:space="preserve"> </w:t>
      </w:r>
      <w:r>
        <w:t xml:space="preserve">(€27,177.00) due upon signed acceptance of this Quotation Estimate, no later than 1 July 2025.</w:t>
      </w:r>
    </w:p>
    <w:p>
      <w:pPr>
        <w:numPr>
          <w:ilvl w:val="0"/>
          <w:numId w:val="1002"/>
        </w:numPr>
        <w:pStyle w:val="Compact"/>
      </w:pPr>
      <w:r>
        <w:rPr>
          <w:bCs/>
          <w:b/>
        </w:rPr>
        <w:t xml:space="preserve">Monthly payroll disbursements</w:t>
      </w:r>
      <w:r>
        <w:t xml:space="preserve"> </w:t>
      </w:r>
      <w:r>
        <w:t xml:space="preserve">for the Teacher Primary salary and statutory contributions, processed on the 28th of each month via direct bank transfer to the school's designated account.</w:t>
      </w:r>
    </w:p>
    <w:p>
      <w:pPr>
        <w:numPr>
          <w:ilvl w:val="0"/>
          <w:numId w:val="1002"/>
        </w:numPr>
        <w:pStyle w:val="Compact"/>
      </w:pPr>
      <w:r>
        <w:rPr>
          <w:bCs/>
          <w:b/>
        </w:rPr>
        <w:t xml:space="preserve">One-time fees</w:t>
      </w:r>
      <w:r>
        <w:t xml:space="preserve"> </w:t>
      </w:r>
      <w:r>
        <w:t xml:space="preserve">(Items 3.3, 3.4, 3.8) invoiced within 14 days of service completion.</w:t>
      </w:r>
    </w:p>
    <w:p>
      <w:pPr>
        <w:numPr>
          <w:ilvl w:val="0"/>
          <w:numId w:val="1002"/>
        </w:numPr>
        <w:pStyle w:val="Compact"/>
      </w:pPr>
      <w:r>
        <w:rPr>
          <w:bCs/>
          <w:b/>
        </w:rPr>
        <w:t xml:space="preserve">Final settlement</w:t>
      </w:r>
      <w:r>
        <w:t xml:space="preserve"> </w:t>
      </w:r>
      <w:r>
        <w:t xml:space="preserve">of any remaining balance due by 15 September 2026.</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ninety (90) days from the date of issue. Beyond this period, all rates and conditions are subject to revision based on current CAO PO adjustments and Amsterdam municipal cost-of-living indices.</w:t>
      </w:r>
    </w:p>
    <w:p>
      <w:pPr>
        <w:pStyle w:val="BodyText"/>
      </w:pPr>
      <w:r>
        <w:rPr>
          <w:bCs/>
          <w:b/>
        </w:rPr>
        <w:t xml:space="preserve">5.2</w:t>
      </w:r>
      <w:r>
        <w:t xml:space="preserve"> </w:t>
      </w:r>
      <w:r>
        <w:t xml:space="preserve">The Teacher Primary candidate must hold a valid Dutch teaching qualification (HBO-diploma Primair Onderwijs) or an equivalent internationally recognized credential verified by Nuffic. A valid Verklaring Omtrent Gedrag (VOG) is mandatory prior to commencement of duties.</w:t>
      </w:r>
    </w:p>
    <w:p>
      <w:pPr>
        <w:pStyle w:val="BodyText"/>
      </w:pPr>
      <w:r>
        <w:rPr>
          <w:bCs/>
          <w:b/>
        </w:rPr>
        <w:t xml:space="preserve">5.3</w:t>
      </w:r>
      <w:r>
        <w:t xml:space="preserve"> </w:t>
      </w:r>
      <w:r>
        <w:t xml:space="preserve">All employment terms for the Teacher Primary shall be governed by the Dutch Civil Code (Burgerlijk Wetboek) and the applicable Collective Labour Agreement for Primary Education in force in the Netherlands Amsterdam jurisdiction.</w:t>
      </w:r>
    </w:p>
    <w:p>
      <w:pPr>
        <w:pStyle w:val="BodyText"/>
      </w:pPr>
      <w:r>
        <w:rPr>
          <w:bCs/>
          <w:b/>
        </w:rPr>
        <w:t xml:space="preserve">5.4</w:t>
      </w:r>
      <w:r>
        <w:t xml:space="preserve"> </w:t>
      </w:r>
      <w:r>
        <w:t xml:space="preserve">EduStaff International B.V. reserves the right to substitute the Teacher Primary candidate with an equally qualified professional should the original candidate be unable to commence, provided the school's written consent is obtained within five (5) business days.</w:t>
      </w:r>
    </w:p>
    <w:p>
      <w:pPr>
        <w:pStyle w:val="BodyText"/>
      </w:pPr>
      <w:r>
        <w:rPr>
          <w:bCs/>
          <w:b/>
        </w:rPr>
        <w:t xml:space="preserve">5.5</w:t>
      </w:r>
      <w:r>
        <w:t xml:space="preserve"> </w:t>
      </w:r>
      <w:r>
        <w:t xml:space="preserve">Any disputes arising from this Quotation Estimate shall be resolved through mediation in Amsterdam, Netherlands, in accordance with the rules of the Dutch Mediation Institute (NMI). Failing mediation, the courts of Amsterdam shall have exclusive jurisdiction.</w:t>
      </w:r>
    </w:p>
    <w:p>
      <w:pPr>
        <w:pStyle w:val="BodyText"/>
      </w:pPr>
      <w:r>
        <w:rPr>
          <w:bCs/>
          <w:b/>
        </w:rPr>
        <w:t xml:space="preserve">5.6</w:t>
      </w:r>
      <w:r>
        <w:t xml:space="preserve"> </w:t>
      </w:r>
      <w:r>
        <w:t xml:space="preserve">This Quotation Estimate does not constitute a binding employment contract between the school and the Teacher Primary. A separate employment contract, compliant with Dutch labour law, will be executed upon successful completion of the recruitment and onboarding process.</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the International Primary School Amsterdam confirms acceptance of this Quotation Estimate for the Teacher Primary position and agrees to the terms, conditions, and payment schedule outlined herein. This acceptance authorizes EduStaff International B.V. to commence the recruitment and placement process effective immediately.</w:t>
      </w:r>
    </w:p>
    <w:p>
      <w:pPr>
        <w:pStyle w:val="BodyText"/>
      </w:pPr>
      <w:r>
        <w:rPr>
          <w:bCs/>
          <w:b/>
        </w:rPr>
        <w:t xml:space="preserve">For EduStaff International B.V.:</w:t>
      </w:r>
      <w:r>
        <w:br/>
      </w:r>
      <w:r>
        <w:br/>
      </w:r>
      <w:r>
        <w:t xml:space="preserve">______________________________</w:t>
      </w:r>
      <w:r>
        <w:br/>
      </w:r>
      <w:r>
        <w:t xml:space="preserve">Name: Jan de Vries</w:t>
      </w:r>
      <w:r>
        <w:br/>
      </w:r>
      <w:r>
        <w:t xml:space="preserve">Title: Director of Educational Placements</w:t>
      </w:r>
      <w:r>
        <w:br/>
      </w:r>
      <w:r>
        <w:t xml:space="preserve">Date: _______________</w:t>
      </w:r>
    </w:p>
    <w:p>
      <w:pPr>
        <w:pStyle w:val="BodyText"/>
      </w:pPr>
      <w:r>
        <w:rPr>
          <w:bCs/>
          <w:b/>
        </w:rPr>
        <w:t xml:space="preserve">For International Primary School Amsterdam:</w:t>
      </w:r>
      <w:r>
        <w:br/>
      </w:r>
      <w:r>
        <w:br/>
      </w:r>
      <w:r>
        <w:t xml:space="preserve">______________________________</w:t>
      </w:r>
      <w:r>
        <w:br/>
      </w:r>
      <w:r>
        <w:t xml:space="preserve">Name: Dr. Maria van der Berg</w:t>
      </w:r>
      <w:r>
        <w:br/>
      </w:r>
      <w:r>
        <w:t xml:space="preserve">Title: Principal / Director</w:t>
      </w:r>
      <w:r>
        <w:br/>
      </w:r>
      <w:r>
        <w:t xml:space="preserve">Date: _______________</w:t>
      </w:r>
    </w:p>
    <w:p>
      <w:pPr>
        <w:pStyle w:val="BodyText"/>
      </w:pPr>
      <w:r>
        <w:t xml:space="preserve">Quotation Estimate QE-2025-AMST-0847 | Teacher Primary | Netherlands Amsterdam | Page 1 of 1</w:t>
      </w:r>
    </w:p>
    <w:p>
      <w:pPr>
        <w:pStyle w:val="BodyText"/>
      </w:pPr>
      <w:r>
        <w:t xml:space="preserve">EduStaff International B.V. – KvK 87654321 – VAT NL861234567B01</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Netherlands Amsterdam</dc:title>
  <dc:creator/>
  <dc:language>en</dc:language>
  <cp:keywords/>
  <dcterms:created xsi:type="dcterms:W3CDTF">2026-10-10T04:05:32Z</dcterms:created>
  <dcterms:modified xsi:type="dcterms:W3CDTF">2026-10-10T04:05:32Z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