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Teaching Services — Teacher Secondary Position</w:t>
      </w:r>
    </w:p>
    <w:p>
      <w:pPr>
        <w:pStyle w:val="BodyText"/>
      </w:pPr>
      <w:r>
        <w:t xml:space="preserve">Australia Melbourne — Victorian Education Sector</w:t>
      </w:r>
    </w:p>
    <w:bookmarkEnd w:id="20"/>
    <w:bookmarkStart w:id="21" w:name="prepared-by"/>
    <w:p>
      <w:pPr>
        <w:pStyle w:val="Heading3"/>
      </w:pPr>
      <w:r>
        <w:t xml:space="preserve">Prepared By</w:t>
      </w:r>
    </w:p>
    <w:p>
      <w:pPr>
        <w:pStyle w:val="FirstParagraph"/>
      </w:pPr>
      <w:r>
        <w:rPr>
          <w:bCs/>
          <w:b/>
        </w:rPr>
        <w:t xml:space="preserve">Melbourne Education Recruitment Pty Ltd</w:t>
      </w:r>
    </w:p>
    <w:p>
      <w:pPr>
        <w:pStyle w:val="BodyText"/>
      </w:pPr>
      <w:r>
        <w:t xml:space="preserve">42 Collins Street, Level 12</w:t>
      </w:r>
    </w:p>
    <w:p>
      <w:pPr>
        <w:pStyle w:val="BodyText"/>
      </w:pPr>
      <w:r>
        <w:t xml:space="preserve">Melbourne VIC 3000, Australia</w:t>
      </w:r>
    </w:p>
    <w:p>
      <w:pPr>
        <w:pStyle w:val="BodyText"/>
      </w:pPr>
      <w:r>
        <w:t xml:space="preserve">ABN: 48 123 456 789</w:t>
      </w:r>
    </w:p>
    <w:p>
      <w:pPr>
        <w:pStyle w:val="BodyText"/>
      </w:pPr>
      <w:r>
        <w:t xml:space="preserve">Phone: +61 3 9123 4567</w:t>
      </w:r>
    </w:p>
    <w:p>
      <w:pPr>
        <w:pStyle w:val="BodyText"/>
      </w:pPr>
      <w:r>
        <w:t xml:space="preserve">Email: enquiries@melbourneedurec.com.au</w:t>
      </w:r>
    </w:p>
    <w:bookmarkEnd w:id="21"/>
    <w:bookmarkStart w:id="22" w:name="prepared-for"/>
    <w:p>
      <w:pPr>
        <w:pStyle w:val="Heading3"/>
      </w:pPr>
      <w:r>
        <w:t xml:space="preserve">Prepared For</w:t>
      </w:r>
    </w:p>
    <w:p>
      <w:pPr>
        <w:pStyle w:val="FirstParagraph"/>
      </w:pPr>
      <w:r>
        <w:rPr>
          <w:bCs/>
          <w:b/>
        </w:rPr>
        <w:t xml:space="preserve">St. Augustine Secondary College</w:t>
      </w:r>
    </w:p>
    <w:p>
      <w:pPr>
        <w:pStyle w:val="BodyText"/>
      </w:pPr>
      <w:r>
        <w:t xml:space="preserve">185 Chapel Street</w:t>
      </w:r>
    </w:p>
    <w:p>
      <w:pPr>
        <w:pStyle w:val="BodyText"/>
      </w:pPr>
      <w:r>
        <w:t xml:space="preserve">South Yarra VIC 3141, Australia Melbourne</w:t>
      </w:r>
    </w:p>
    <w:p>
      <w:pPr>
        <w:pStyle w:val="BodyText"/>
      </w:pPr>
      <w:r>
        <w:t xml:space="preserve">CRICOS: 00123A</w:t>
      </w:r>
    </w:p>
    <w:p>
      <w:pPr>
        <w:pStyle w:val="BodyText"/>
      </w:pPr>
      <w:r>
        <w:t xml:space="preserve">Phone: +61 3 9876 5432</w:t>
      </w:r>
    </w:p>
    <w:p>
      <w:pPr>
        <w:pStyle w:val="BodyText"/>
      </w:pPr>
      <w:r>
        <w:t xml:space="preserve">Email: hr@staugustine.edu.au</w:t>
      </w:r>
    </w:p>
    <w:bookmarkEnd w:id="22"/>
    <w:p>
      <w:pPr>
        <w:pStyle w:val="BodyText"/>
      </w:pPr>
      <w:r>
        <w:rPr>
          <w:bCs/>
          <w:b/>
        </w:rPr>
        <w:t xml:space="preserve">Quotation Estimate Reference:</w:t>
      </w:r>
      <w:r>
        <w:t xml:space="preserve"> </w:t>
      </w:r>
      <w:r>
        <w:t xml:space="preserve">QTE-2025-MEL-0472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Position Title:</w:t>
      </w:r>
      <w:r>
        <w:t xml:space="preserve"> </w:t>
      </w:r>
      <w:r>
        <w:t xml:space="preserve">Teacher Secondary (Full-Time, Permanent)</w:t>
      </w:r>
    </w:p>
    <w:p>
      <w:pPr>
        <w:pStyle w:val="BodyText"/>
      </w:pPr>
      <w:r>
        <w:rPr>
          <w:bCs/>
          <w:b/>
        </w:rPr>
        <w:t xml:space="preserve">Location:</w:t>
      </w:r>
      <w:r>
        <w:t xml:space="preserve"> </w:t>
      </w:r>
      <w:r>
        <w:t xml:space="preserve">Australia Melbourne, Victoria</w:t>
      </w:r>
    </w:p>
    <w:p>
      <w:pPr>
        <w:pStyle w:val="BodyText"/>
      </w:pPr>
      <w:r>
        <w:rPr>
          <w:bCs/>
          <w:b/>
        </w:rPr>
        <w:t xml:space="preserve">Commencement Date:</w:t>
      </w:r>
      <w:r>
        <w:t xml:space="preserve"> </w:t>
      </w:r>
      <w:r>
        <w:t xml:space="preserve">1 February 2026</w:t>
      </w:r>
    </w:p>
    <w:bookmarkStart w:id="23" w:name="scope-of-services"/>
    <w:p>
      <w:pPr>
        <w:pStyle w:val="Heading2"/>
      </w:pPr>
      <w:r>
        <w:t xml:space="preserve">1. Scope of Services</w:t>
      </w:r>
    </w:p>
    <w:p>
      <w:pPr>
        <w:pStyle w:val="FirstParagraph"/>
      </w:pPr>
      <w:r>
        <w:t xml:space="preserve">This</w:t>
      </w:r>
      <w:r>
        <w:t xml:space="preserve"> </w:t>
      </w:r>
      <w:r>
        <w:t xml:space="preserve">Quotation Estimate</w:t>
      </w:r>
      <w:r>
        <w:t xml:space="preserve"> </w:t>
      </w:r>
      <w:r>
        <w:t xml:space="preserve">is issued in response to the formal request from St. Augustine Secondary College for the recruitment, onboarding, and first-year employment of a qualified</w:t>
      </w:r>
      <w:r>
        <w:t xml:space="preserve"> </w:t>
      </w:r>
      <w:r>
        <w:t xml:space="preserve">Teacher Secondary</w:t>
      </w:r>
      <w:r>
        <w:t xml:space="preserve"> </w:t>
      </w:r>
      <w:r>
        <w:t xml:space="preserve">professional in the Australia Melbourne metropolitan region. The scope encompasses the following deliverables:</w:t>
      </w:r>
    </w:p>
    <w:p>
      <w:pPr>
        <w:numPr>
          <w:ilvl w:val="0"/>
          <w:numId w:val="1001"/>
        </w:numPr>
        <w:pStyle w:val="Compact"/>
      </w:pPr>
      <w:r>
        <w:t xml:space="preserve">End-to-end recruitment and selection of a VIT-registered Teacher Secondary candidate with a minimum of three (3) years of post-graduate teaching experience in Years 7–12.</w:t>
      </w:r>
    </w:p>
    <w:p>
      <w:pPr>
        <w:numPr>
          <w:ilvl w:val="0"/>
          <w:numId w:val="1001"/>
        </w:numPr>
        <w:pStyle w:val="Compact"/>
      </w:pPr>
      <w:r>
        <w:t xml:space="preserve">Comprehensive background checks, including National Police Clearance, Working with Children Check (WWCC), and reference verification in accordance with Victorian Department of Education and Training guidelines.</w:t>
      </w:r>
    </w:p>
    <w:p>
      <w:pPr>
        <w:numPr>
          <w:ilvl w:val="0"/>
          <w:numId w:val="1001"/>
        </w:numPr>
        <w:pStyle w:val="Compact"/>
      </w:pPr>
      <w:r>
        <w:t xml:space="preserve">Onboarding support including induction into the Australia Melbourne school community, orientation to the college’s pastoral care framework, and alignment with the Victorian Curriculum F-10 and VCE requirements.</w:t>
      </w:r>
    </w:p>
    <w:p>
      <w:pPr>
        <w:numPr>
          <w:ilvl w:val="0"/>
          <w:numId w:val="1001"/>
        </w:numPr>
        <w:pStyle w:val="Compact"/>
      </w:pPr>
      <w:r>
        <w:t xml:space="preserve">First-year professional development plan tailored to the Teacher Secondary role, including mentoring, classroom observation cycles, and participation in the Melbourne Secondary Teachers’ Professional Learning Network.</w:t>
      </w:r>
    </w:p>
    <w:p>
      <w:pPr>
        <w:numPr>
          <w:ilvl w:val="0"/>
          <w:numId w:val="1001"/>
        </w:numPr>
        <w:pStyle w:val="Compact"/>
      </w:pPr>
      <w:r>
        <w:t xml:space="preserve">Administrative support for visa sponsorship (if applicable), superannuation enrolment, and payroll setup compliant with the Victorian Education Agreement 2024–2028.</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Recruitment &amp; selection of Teacher Secondary candidate (job advertising, shortlisting, interviews, panel coordination)</w:t>
            </w:r>
          </w:p>
        </w:tc>
        <w:tc>
          <w:tcPr/>
          <w:p>
            <w:pPr>
              <w:pStyle w:val="Compact"/>
              <w:jc w:val="left"/>
            </w:pPr>
            <w:r>
              <w:t xml:space="preserve">1 position</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Compliance checks: WWCC, NCC, VIT registration verification, and reference checks (Australia Melbourne jurisdiction)</w:t>
            </w:r>
          </w:p>
        </w:tc>
        <w:tc>
          <w:tcPr/>
          <w:p>
            <w:pPr>
              <w:pStyle w:val="Compact"/>
              <w:jc w:val="left"/>
            </w:pPr>
            <w:r>
              <w:t xml:space="preserve">1 candidate</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03</w:t>
            </w:r>
          </w:p>
        </w:tc>
        <w:tc>
          <w:tcPr/>
          <w:p>
            <w:pPr>
              <w:pStyle w:val="Compact"/>
              <w:jc w:val="left"/>
            </w:pPr>
            <w:r>
              <w:t xml:space="preserve">Onboarding &amp; induction programme for Teacher Secondary (2-day structured induction in Melbourne)</w:t>
            </w:r>
          </w:p>
        </w:tc>
        <w:tc>
          <w:tcPr/>
          <w:p>
            <w:pPr>
              <w:pStyle w:val="Compact"/>
              <w:jc w:val="left"/>
            </w:pPr>
            <w:r>
              <w:t xml:space="preserve">1 programme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First-year professional development &amp; mentoring (12-month cycle, 6 observation sessions, 4 PD workshops)</w:t>
            </w:r>
          </w:p>
        </w:tc>
        <w:tc>
          <w:tcPr/>
          <w:p>
            <w:pPr>
              <w:pStyle w:val="Compact"/>
              <w:jc w:val="left"/>
            </w:pPr>
            <w:r>
              <w:t xml:space="preserve">12 months</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05</w:t>
            </w:r>
          </w:p>
        </w:tc>
        <w:tc>
          <w:tcPr/>
          <w:p>
            <w:pPr>
              <w:pStyle w:val="Compact"/>
              <w:jc w:val="left"/>
            </w:pPr>
            <w:r>
              <w:t xml:space="preserve">Administrative &amp; payroll setup (superannuation, Victorian Education Agreement compliance, HRIS entry)</w:t>
            </w:r>
          </w:p>
        </w:tc>
        <w:tc>
          <w:tcPr/>
          <w:p>
            <w:pPr>
              <w:pStyle w:val="Compact"/>
              <w:jc w:val="left"/>
            </w:pPr>
            <w:r>
              <w:t xml:space="preserve">1 position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Annual Teacher Secondary salary (Level 2, Victorian Education Agreement 2024–2028, 40 hours/week, 52 weeks)</w:t>
            </w:r>
          </w:p>
        </w:tc>
        <w:tc>
          <w:tcPr/>
          <w:p>
            <w:pPr>
              <w:pStyle w:val="Compact"/>
              <w:jc w:val="left"/>
            </w:pPr>
            <w:r>
              <w:t xml:space="preserve">1 year</w:t>
            </w:r>
          </w:p>
        </w:tc>
        <w:tc>
          <w:tcPr/>
          <w:p>
            <w:pPr>
              <w:pStyle w:val="Compact"/>
              <w:jc w:val="left"/>
            </w:pPr>
            <w:r>
              <w:t xml:space="preserve">$82,340.00</w:t>
            </w:r>
          </w:p>
        </w:tc>
        <w:tc>
          <w:tcPr/>
          <w:p>
            <w:pPr>
              <w:pStyle w:val="Compact"/>
              <w:jc w:val="left"/>
            </w:pPr>
            <w:r>
              <w:t xml:space="preserve">$82,340.00</w:t>
            </w:r>
          </w:p>
        </w:tc>
      </w:tr>
      <w:tr>
        <w:tc>
          <w:tcPr/>
          <w:p>
            <w:pPr>
              <w:pStyle w:val="Compact"/>
              <w:jc w:val="left"/>
            </w:pPr>
            <w:r>
              <w:t xml:space="preserve">07</w:t>
            </w:r>
          </w:p>
        </w:tc>
        <w:tc>
          <w:tcPr/>
          <w:p>
            <w:pPr>
              <w:pStyle w:val="Compact"/>
              <w:jc w:val="left"/>
            </w:pPr>
            <w:r>
              <w:t xml:space="preserve">Superannuation contribution (11.5% employer guarantee, Australia Melbourne standard)</w:t>
            </w:r>
          </w:p>
        </w:tc>
        <w:tc>
          <w:tcPr/>
          <w:p>
            <w:pPr>
              <w:pStyle w:val="Compact"/>
              <w:jc w:val="left"/>
            </w:pPr>
            <w:r>
              <w:t xml:space="preserve">1 year</w:t>
            </w:r>
          </w:p>
        </w:tc>
        <w:tc>
          <w:tcPr/>
          <w:p>
            <w:pPr>
              <w:pStyle w:val="Compact"/>
              <w:jc w:val="left"/>
            </w:pPr>
            <w:r>
              <w:t xml:space="preserve">$9,469.10</w:t>
            </w:r>
          </w:p>
        </w:tc>
        <w:tc>
          <w:tcPr/>
          <w:p>
            <w:pPr>
              <w:pStyle w:val="Compact"/>
              <w:jc w:val="left"/>
            </w:pPr>
            <w:r>
              <w:t xml:space="preserve">$9,469.10</w:t>
            </w:r>
          </w:p>
        </w:tc>
      </w:tr>
      <w:tr>
        <w:tc>
          <w:tcPr/>
          <w:p>
            <w:pPr>
              <w:pStyle w:val="Compact"/>
              <w:jc w:val="left"/>
            </w:pPr>
            <w:r>
              <w:t xml:space="preserve">08</w:t>
            </w:r>
          </w:p>
        </w:tc>
        <w:tc>
          <w:tcPr/>
          <w:p>
            <w:pPr>
              <w:pStyle w:val="Compact"/>
              <w:jc w:val="left"/>
            </w:pPr>
            <w:r>
              <w:t xml:space="preserve">Workplace insurance &amp; occupational health (Teacher Secondary, Australia Melbourne metro zone)</w:t>
            </w:r>
          </w:p>
        </w:tc>
        <w:tc>
          <w:tcPr/>
          <w:p>
            <w:pPr>
              <w:pStyle w:val="Compact"/>
              <w:jc w:val="left"/>
            </w:pPr>
            <w:r>
              <w:t xml:space="preserve">1 year</w:t>
            </w:r>
          </w:p>
        </w:tc>
        <w:tc>
          <w:tcPr/>
          <w:p>
            <w:pPr>
              <w:pStyle w:val="Compact"/>
              <w:jc w:val="left"/>
            </w:pPr>
            <w:r>
              <w:t xml:space="preserve">$1,180.00</w:t>
            </w:r>
          </w:p>
        </w:tc>
        <w:tc>
          <w:tcPr/>
          <w:p>
            <w:pPr>
              <w:pStyle w:val="Compact"/>
              <w:jc w:val="left"/>
            </w:pPr>
            <w:r>
              <w:t xml:space="preserve">$1,180.00</w:t>
            </w:r>
          </w:p>
        </w:tc>
      </w:tr>
      <w:tr>
        <w:tc>
          <w:tcPr>
            <w:gridSpan w:val="4"/>
          </w:tcPr>
          <w:p>
            <w:pPr>
              <w:pStyle w:val="Compact"/>
              <w:jc w:val="left"/>
            </w:pPr>
            <w:r>
              <w:t xml:space="preserve">Subtotal (AUD)</w:t>
            </w:r>
          </w:p>
        </w:tc>
        <w:tc>
          <w:tcPr/>
          <w:p>
            <w:pPr>
              <w:pStyle w:val="Compact"/>
              <w:jc w:val="left"/>
            </w:pPr>
            <w:r>
              <w:t xml:space="preserve">$103,509.10</w:t>
            </w:r>
          </w:p>
        </w:tc>
      </w:tr>
      <w:tr>
        <w:tc>
          <w:tcPr>
            <w:gridSpan w:val="4"/>
          </w:tcPr>
          <w:p>
            <w:pPr>
              <w:pStyle w:val="Compact"/>
              <w:jc w:val="left"/>
            </w:pPr>
            <w:r>
              <w:t xml:space="preserve">GST (10%)</w:t>
            </w:r>
          </w:p>
        </w:tc>
        <w:tc>
          <w:tcPr/>
          <w:p>
            <w:pPr>
              <w:pStyle w:val="Compact"/>
              <w:jc w:val="left"/>
            </w:pPr>
            <w:r>
              <w:t xml:space="preserve">$10,350.91</w:t>
            </w:r>
          </w:p>
        </w:tc>
      </w:tr>
      <w:tr>
        <w:tc>
          <w:tcPr>
            <w:gridSpan w:val="4"/>
          </w:tcPr>
          <w:p>
            <w:pPr>
              <w:pStyle w:val="Compact"/>
              <w:jc w:val="left"/>
            </w:pPr>
            <w:r>
              <w:rPr>
                <w:bCs/>
                <w:b/>
              </w:rPr>
              <w:t xml:space="preserve">TOTAL ESTIMATED COST (AUD, incl. GST)</w:t>
            </w:r>
          </w:p>
        </w:tc>
        <w:tc>
          <w:tcPr/>
          <w:p>
            <w:pPr>
              <w:pStyle w:val="Compact"/>
              <w:jc w:val="left"/>
            </w:pPr>
            <w:r>
              <w:rPr>
                <w:bCs/>
                <w:b/>
              </w:rPr>
              <w:t xml:space="preserve">$113,860.01</w:t>
            </w:r>
          </w:p>
        </w:tc>
      </w:tr>
    </w:tbl>
    <w:bookmarkEnd w:id="24"/>
    <w:bookmarkStart w:id="25" w:name="payment-schedule"/>
    <w:p>
      <w:pPr>
        <w:pStyle w:val="Heading2"/>
      </w:pPr>
      <w:r>
        <w:t xml:space="preserve">3. Payment Schedule</w:t>
      </w:r>
    </w:p>
    <w:p>
      <w:pPr>
        <w:pStyle w:val="FirstParagraph"/>
      </w:pPr>
      <w:r>
        <w:t xml:space="preserve">This</w:t>
      </w:r>
      <w:r>
        <w:t xml:space="preserve"> </w:t>
      </w:r>
      <w:r>
        <w:t xml:space="preserve">Quotation Estimate</w:t>
      </w:r>
      <w:r>
        <w:t xml:space="preserve"> </w:t>
      </w:r>
      <w:r>
        <w:t xml:space="preserve">outlines the following payment milestones for the Teacher Secondary engagement in Australia Melbourne:</w:t>
      </w:r>
    </w:p>
    <w:p>
      <w:pPr>
        <w:numPr>
          <w:ilvl w:val="0"/>
          <w:numId w:val="1002"/>
        </w:numPr>
        <w:pStyle w:val="Compact"/>
      </w:pPr>
      <w:r>
        <w:rPr>
          <w:bCs/>
          <w:b/>
        </w:rPr>
        <w:t xml:space="preserve">Milestone 1 (30%):</w:t>
      </w:r>
      <w:r>
        <w:t xml:space="preserve"> </w:t>
      </w:r>
      <w:r>
        <w:t xml:space="preserve">Due upon acceptance of this Quotation Estimate — $34,158.00</w:t>
      </w:r>
    </w:p>
    <w:p>
      <w:pPr>
        <w:numPr>
          <w:ilvl w:val="0"/>
          <w:numId w:val="1002"/>
        </w:numPr>
        <w:pStyle w:val="Compact"/>
      </w:pPr>
      <w:r>
        <w:rPr>
          <w:bCs/>
          <w:b/>
        </w:rPr>
        <w:t xml:space="preserve">Milestone 2 (40%):</w:t>
      </w:r>
      <w:r>
        <w:t xml:space="preserve"> </w:t>
      </w:r>
      <w:r>
        <w:t xml:space="preserve">Due upon successful onboarding and commencement of the Teacher Secondary role — $45,544.00</w:t>
      </w:r>
    </w:p>
    <w:p>
      <w:pPr>
        <w:numPr>
          <w:ilvl w:val="0"/>
          <w:numId w:val="1002"/>
        </w:numPr>
        <w:pStyle w:val="Compact"/>
      </w:pPr>
      <w:r>
        <w:rPr>
          <w:bCs/>
          <w:b/>
        </w:rPr>
        <w:t xml:space="preserve">Milestone 3 (30%):</w:t>
      </w:r>
      <w:r>
        <w:t xml:space="preserve"> </w:t>
      </w:r>
      <w:r>
        <w:t xml:space="preserve">Due upon completion of the first-year professional development cycle — $34,158.01</w:t>
      </w:r>
    </w:p>
    <w:p>
      <w:pPr>
        <w:pStyle w:val="FirstParagraph"/>
      </w:pPr>
      <w:r>
        <w:t xml:space="preserve">All payments are to be made via direct bank transfer to the account specified on the accompanying tax invoice. Payment terms are net 14 days from invoice date. Late payments will incur interest at the rate prescribed under the Victorian Interest on Late Payments of Government Debts Act 1983.</w:t>
      </w:r>
    </w:p>
    <w:bookmarkEnd w:id="25"/>
    <w:bookmarkStart w:id="26" w:name="terms-and-conditions"/>
    <w:p>
      <w:pPr>
        <w:pStyle w:val="Heading2"/>
      </w:pPr>
      <w:r>
        <w:t xml:space="preserve">4. Terms and Conditions</w:t>
      </w:r>
    </w:p>
    <w:p>
      <w:pPr>
        <w:pStyle w:val="FirstParagraph"/>
      </w:pPr>
      <w:r>
        <w:t xml:space="preserve">4.1 This Quotation Estimate is valid for thirty (30) calendar days from the date of issue. After the expiry date, all rates and conditions are subject to revision.</w:t>
      </w:r>
    </w:p>
    <w:p>
      <w:pPr>
        <w:pStyle w:val="BodyText"/>
      </w:pPr>
      <w:r>
        <w:t xml:space="preserve">4.2 The Teacher Secondary candidate must hold a valid Victorian Institute of Teaching (VIT) registration or be eligible for provisional registration at the time of commencement. Melbourne-based candidates must also comply with the Australian Professional Standards for Teachers (2018, revised 2024).</w:t>
      </w:r>
    </w:p>
    <w:p>
      <w:pPr>
        <w:pStyle w:val="BodyText"/>
      </w:pPr>
      <w:r>
        <w:t xml:space="preserve">4.3 All services described in this Quotation Estimate are governed by the laws of the State of Victoria, Australia Melbourne. Any disputes shall be resolved through the Victorian Civil and Administrative Tribunal (VCAT).</w:t>
      </w:r>
    </w:p>
    <w:p>
      <w:pPr>
        <w:pStyle w:val="BodyText"/>
      </w:pPr>
      <w:r>
        <w:t xml:space="preserve">4.4 Melbourne Education Recruitment Pty Ltd shall not be liable for any indirect, consequential, or punitive damages arising from the engagement of the Teacher Secondary professional.</w:t>
      </w:r>
    </w:p>
    <w:p>
      <w:pPr>
        <w:pStyle w:val="BodyText"/>
      </w:pPr>
      <w:r>
        <w:t xml:space="preserve">4.5 The college reserves the right to terminate the Teacher Secondary engagement in accordance with the Victorian Education Agreement and applicable industrial legislation, with appropriate notice periods as stipulated.</w:t>
      </w:r>
    </w:p>
    <w:p>
      <w:pPr>
        <w:pStyle w:val="BodyText"/>
      </w:pPr>
      <w:r>
        <w:t xml:space="preserve">4.6 This Quotation Estimate does not constitute a contract of employment. The employment relationship between the Teacher Secondary and the college is governed by a separate employment contract issued upon successful completion of the recruitment process.</w:t>
      </w:r>
    </w:p>
    <w:p>
      <w:pPr>
        <w:pStyle w:val="BodyText"/>
      </w:pPr>
      <w:r>
        <w:t xml:space="preserve">4.7 All personal data collected during the recruitment and onboarding process shall be handled in strict compliance with the Privacy Act 1988 (Cth) and the Victorian Information Privacy Act 2014.</w:t>
      </w:r>
    </w:p>
    <w:bookmarkEnd w:id="26"/>
    <w:bookmarkStart w:id="27" w:name="acceptance"/>
    <w:p>
      <w:pPr>
        <w:pStyle w:val="Heading2"/>
      </w:pPr>
      <w:r>
        <w:t xml:space="preserve">5. Acceptance</w:t>
      </w:r>
    </w:p>
    <w:p>
      <w:pPr>
        <w:pStyle w:val="FirstParagraph"/>
      </w:pPr>
      <w:r>
        <w:t xml:space="preserve">By signing below, the authorised representative of St. Augustine Secondary College acknowledges and accepts this</w:t>
      </w:r>
      <w:r>
        <w:t xml:space="preserve"> </w:t>
      </w:r>
      <w:r>
        <w:t xml:space="preserve">Quotation Estimate</w:t>
      </w:r>
      <w:r>
        <w:t xml:space="preserve"> </w:t>
      </w:r>
      <w:r>
        <w:t xml:space="preserve">for the recruitment and first-year engagement of a</w:t>
      </w:r>
      <w:r>
        <w:t xml:space="preserve"> </w:t>
      </w:r>
      <w:r>
        <w:t xml:space="preserve">Teacher Secondary</w:t>
      </w:r>
      <w:r>
        <w:t xml:space="preserve"> </w:t>
      </w:r>
      <w:r>
        <w:t xml:space="preserve">professional in</w:t>
      </w:r>
      <w:r>
        <w:t xml:space="preserve"> </w:t>
      </w:r>
      <w:r>
        <w:t xml:space="preserve">Australia Melbourne</w:t>
      </w:r>
      <w:r>
        <w:t xml:space="preserve">, in full accordance with the terms, conditions, and cost breakdown set out herein.</w:t>
      </w:r>
    </w:p>
    <w:p>
      <w:pPr>
        <w:pStyle w:val="BodyText"/>
      </w:pPr>
      <w:r>
        <w:rPr>
          <w:bCs/>
          <w:b/>
        </w:rPr>
        <w:t xml:space="preserve">For and on behalf of St. Augustine Secondary College</w:t>
      </w:r>
    </w:p>
    <w:p>
      <w:pPr>
        <w:pStyle w:val="BodyText"/>
      </w:pPr>
      <w:r>
        <w:t xml:space="preserve">Name: ______________________________</w:t>
      </w:r>
    </w:p>
    <w:p>
      <w:pPr>
        <w:pStyle w:val="BodyText"/>
      </w:pPr>
      <w:r>
        <w:t xml:space="preserve">Title: Principal / HR Director</w:t>
      </w:r>
    </w:p>
    <w:p>
      <w:pPr>
        <w:pStyle w:val="BodyText"/>
      </w:pPr>
      <w:r>
        <w:t xml:space="preserve">Date: ______________________________</w:t>
      </w:r>
    </w:p>
    <w:p>
      <w:pPr>
        <w:pStyle w:val="BodyText"/>
      </w:pPr>
      <w:r>
        <w:rPr>
          <w:bCs/>
          <w:b/>
        </w:rPr>
        <w:t xml:space="preserve">For and on behalf of Melbourne Education Recruitment Pty Ltd</w:t>
      </w:r>
    </w:p>
    <w:p>
      <w:pPr>
        <w:pStyle w:val="BodyText"/>
      </w:pPr>
      <w:r>
        <w:t xml:space="preserve">Name: ______________________________</w:t>
      </w:r>
    </w:p>
    <w:p>
      <w:pPr>
        <w:pStyle w:val="BodyText"/>
      </w:pPr>
      <w:r>
        <w:t xml:space="preserve">Title: Director of Education Placements</w:t>
      </w:r>
    </w:p>
    <w:p>
      <w:pPr>
        <w:pStyle w:val="BodyText"/>
      </w:pPr>
      <w:r>
        <w:t xml:space="preserve">Date: ______________________________</w:t>
      </w:r>
    </w:p>
    <w:p>
      <w:pPr>
        <w:pStyle w:val="BodyText"/>
      </w:pPr>
      <w:r>
        <w:t xml:space="preserve">This Quotation Estimate (Ref: QTE-2025-MEL-0472) is issued by Melbourne Education Recruitment Pty Ltd for the Teacher Secondary position in Australia Melbourne. This document is confidential and intended solely for the named recipient. © 2025 Melbourne Education Recruitment Pty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Australia Melbourne</dc:title>
  <dc:creator/>
  <dc:language>en</dc:language>
  <cp:keywords/>
  <dcterms:created xsi:type="dcterms:W3CDTF">2026-10-10T05:48:39Z</dcterms:created>
  <dcterms:modified xsi:type="dcterms:W3CDTF">2026-10-10T05:48:39Z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