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China</w:t>
      </w:r>
      <w:r>
        <w:t xml:space="preserve"> </w:t>
      </w:r>
      <w:r>
        <w:t xml:space="preserve">Beijing</w:t>
      </w:r>
    </w:p>
    <w:bookmarkStart w:id="26" w:name="quotation-estimate"/>
    <w:p>
      <w:pPr>
        <w:pStyle w:val="Heading1"/>
      </w:pPr>
      <w:r>
        <w:t xml:space="preserve">QUOTATION ESTIMATE</w:t>
      </w:r>
    </w:p>
    <w:p>
      <w:pPr>
        <w:pStyle w:val="FirstParagraph"/>
      </w:pPr>
      <w:r>
        <w:t xml:space="preserve">Teacher Secondary Recruitment &amp; Placement Services</w:t>
      </w:r>
      <w:r>
        <w:br/>
      </w:r>
      <w:r>
        <w:t xml:space="preserve">China Beijing – People's Republic of China</w:t>
      </w:r>
    </w:p>
    <w:p>
      <w:pPr>
        <w:pStyle w:val="BodyText"/>
      </w:pPr>
      <w:r>
        <w:rPr>
          <w:bCs/>
          <w:b/>
        </w:rPr>
        <w:t xml:space="preserve">Issued By:</w:t>
      </w:r>
      <w:r>
        <w:br/>
      </w:r>
      <w:r>
        <w:t xml:space="preserve">Beijing International Education Staffing Co., Ltd.</w:t>
      </w:r>
      <w:r>
        <w:br/>
      </w:r>
      <w:r>
        <w:t xml:space="preserve">No. 88 Chaoyang Road, Chaoyang District</w:t>
      </w:r>
      <w:r>
        <w:br/>
      </w:r>
      <w:r>
        <w:t xml:space="preserve">Beijing 100020, China</w:t>
      </w:r>
      <w:r>
        <w:br/>
      </w:r>
      <w:r>
        <w:t xml:space="preserve">Tel: +86-10-6588-2200</w:t>
      </w:r>
      <w:r>
        <w:br/>
      </w:r>
      <w:r>
        <w:t xml:space="preserve">Email: quotations@bjiedstaffing.cn</w:t>
      </w:r>
    </w:p>
    <w:p>
      <w:pPr>
        <w:pStyle w:val="BodyText"/>
      </w:pPr>
      <w:r>
        <w:rPr>
          <w:bCs/>
          <w:b/>
        </w:rPr>
        <w:t xml:space="preserve">Quotation No.:</w:t>
      </w:r>
      <w:r>
        <w:t xml:space="preserve"> </w:t>
      </w:r>
      <w:r>
        <w:t xml:space="preserve">QTE-2025-BJ-0472</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r>
        <w:br/>
      </w:r>
      <w:r>
        <w:rPr>
          <w:bCs/>
          <w:b/>
        </w:rPr>
        <w:t xml:space="preserve">Prepared For:</w:t>
      </w:r>
      <w:r>
        <w:t xml:space="preserve"> </w:t>
      </w:r>
      <w:r>
        <w:t xml:space="preserve">Beijing Municipal Secondary Education Bureau</w:t>
      </w:r>
      <w:r>
        <w:br/>
      </w:r>
      <w:r>
        <w:rPr>
          <w:bCs/>
          <w:b/>
        </w:rPr>
        <w:t xml:space="preserve">Reference:</w:t>
      </w:r>
      <w:r>
        <w:t xml:space="preserve"> </w:t>
      </w:r>
      <w:r>
        <w:t xml:space="preserve">TSC-2025-Recruitment-Cycle-03</w:t>
      </w:r>
    </w:p>
    <w:bookmarkStart w:id="20" w:name="X0c7581080508d578c26b6d8dfd726c7e3ca5cc9"/>
    <w:p>
      <w:pPr>
        <w:pStyle w:val="Heading2"/>
      </w:pPr>
      <w:r>
        <w:t xml:space="preserve">1. Purpose and Scope of This Quotation Estimate</w:t>
      </w:r>
    </w:p>
    <w:p>
      <w:pPr>
        <w:pStyle w:val="FirstParagraph"/>
      </w:pPr>
      <w:r>
        <w:t xml:space="preserve">This Quotation Estimate is formally issued by Beijing International Education Staffing Co., Ltd. to provide a comprehensive cost breakdown for the recruitment, onboarding, and annual placement of</w:t>
      </w:r>
      <w:r>
        <w:t xml:space="preserve"> </w:t>
      </w:r>
      <w:r>
        <w:rPr>
          <w:bCs/>
          <w:b/>
        </w:rPr>
        <w:t xml:space="preserve">Teacher Secondary</w:t>
      </w:r>
      <w:r>
        <w:t xml:space="preserve"> </w:t>
      </w:r>
      <w:r>
        <w:t xml:space="preserve">personnel across designated secondary schools in the</w:t>
      </w:r>
      <w:r>
        <w:t xml:space="preserve"> </w:t>
      </w:r>
      <w:r>
        <w:rPr>
          <w:bCs/>
          <w:b/>
        </w:rPr>
        <w:t xml:space="preserve">China Beijing</w:t>
      </w:r>
      <w:r>
        <w:t xml:space="preserve"> </w:t>
      </w:r>
      <w:r>
        <w:t xml:space="preserve">metropolitan area. The scope encompasses the full lifecycle of Teacher Secondary engagement, including candidate sourcing, credential verification, work permit processing, visa facilitation, contractual employment, professional development, and ongoing administrative support for the 2025–2026 academic year.</w:t>
      </w:r>
    </w:p>
    <w:p>
      <w:pPr>
        <w:pStyle w:val="BodyText"/>
      </w:pPr>
      <w:r>
        <w:t xml:space="preserve">All figures presented in this Quotation Estimate are denominated in Chinese Yuan (CNY / RMB) unless otherwise stated. The pricing structure reflects current regulatory requirements set forth by the Beijing Municipal Human Resources and Social Security Bureau and the Beijing Municipal Education Commission governing the employment of secondary-level educators in the China Beijing region.</w:t>
      </w:r>
    </w:p>
    <w:bookmarkEnd w:id="20"/>
    <w:bookmarkStart w:id="21" w:name="Xd6b63230cb822d57d9402203ca9c79e3d81ae6f"/>
    <w:p>
      <w:pPr>
        <w:pStyle w:val="Heading2"/>
      </w:pPr>
      <w:r>
        <w:t xml:space="preserve">2. Itemized Cost Breakdown – Teacher Secondary Positions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Recruitment &amp; Sourcing of Teacher Secondary Candidates (subject-specialist: Mathematics, Physics, Chemistry, English, Chinese Language, History, Geography, Biology)</w:t>
            </w:r>
          </w:p>
        </w:tc>
        <w:tc>
          <w:tcPr/>
          <w:p>
            <w:pPr>
              <w:pStyle w:val="Compact"/>
              <w:jc w:val="left"/>
            </w:pPr>
            <w:r>
              <w:t xml:space="preserve">48 positions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Credential Verification &amp; Academic Background Check for each Teacher Secondary applicant (including degree authentication, teaching license validation, and criminal record clearance)</w:t>
            </w:r>
          </w:p>
        </w:tc>
        <w:tc>
          <w:tcPr/>
          <w:p>
            <w:pPr>
              <w:pStyle w:val="Compact"/>
              <w:jc w:val="left"/>
            </w:pPr>
            <w:r>
              <w:t xml:space="preserve">48 positions</w:t>
            </w:r>
          </w:p>
        </w:tc>
        <w:tc>
          <w:tcPr/>
          <w:p>
            <w:pPr>
              <w:pStyle w:val="Compact"/>
              <w:jc w:val="left"/>
            </w:pPr>
            <w:r>
              <w:t xml:space="preserve">3,200</w:t>
            </w:r>
          </w:p>
        </w:tc>
        <w:tc>
          <w:tcPr/>
          <w:p>
            <w:pPr>
              <w:pStyle w:val="Compact"/>
              <w:jc w:val="left"/>
            </w:pPr>
            <w:r>
              <w:t xml:space="preserve">153,600</w:t>
            </w:r>
          </w:p>
        </w:tc>
      </w:tr>
      <w:tr>
        <w:tc>
          <w:tcPr/>
          <w:p>
            <w:pPr>
              <w:pStyle w:val="Compact"/>
              <w:jc w:val="left"/>
            </w:pPr>
            <w:r>
              <w:t xml:space="preserve">03</w:t>
            </w:r>
          </w:p>
        </w:tc>
        <w:tc>
          <w:tcPr/>
          <w:p>
            <w:pPr>
              <w:pStyle w:val="Compact"/>
              <w:jc w:val="left"/>
            </w:pPr>
            <w:r>
              <w:t xml:space="preserve">Work Permit &amp; Residence Visa Processing (China Beijing specific – includes filing with the Beijing Municipal Entry-Exit Administration Bureau)</w:t>
            </w:r>
          </w:p>
        </w:tc>
        <w:tc>
          <w:tcPr/>
          <w:p>
            <w:pPr>
              <w:pStyle w:val="Compact"/>
              <w:jc w:val="left"/>
            </w:pPr>
            <w:r>
              <w:t xml:space="preserve">48 positions</w:t>
            </w:r>
          </w:p>
        </w:tc>
        <w:tc>
          <w:tcPr/>
          <w:p>
            <w:pPr>
              <w:pStyle w:val="Compact"/>
              <w:jc w:val="left"/>
            </w:pPr>
            <w:r>
              <w:t xml:space="preserve">5,800</w:t>
            </w:r>
          </w:p>
        </w:tc>
        <w:tc>
          <w:tcPr/>
          <w:p>
            <w:pPr>
              <w:pStyle w:val="Compact"/>
              <w:jc w:val="left"/>
            </w:pPr>
            <w:r>
              <w:t xml:space="preserve">278,400</w:t>
            </w:r>
          </w:p>
        </w:tc>
      </w:tr>
      <w:tr>
        <w:tc>
          <w:tcPr/>
          <w:p>
            <w:pPr>
              <w:pStyle w:val="Compact"/>
              <w:jc w:val="left"/>
            </w:pPr>
            <w:r>
              <w:t xml:space="preserve">04</w:t>
            </w:r>
          </w:p>
        </w:tc>
        <w:tc>
          <w:tcPr/>
          <w:p>
            <w:pPr>
              <w:pStyle w:val="Compact"/>
              <w:jc w:val="left"/>
            </w:pPr>
            <w:r>
              <w:t xml:space="preserve">Annual Base Salary – Teacher Secondary (Grade A: 5+ years experience; Grade B: 2–5 years; Grade C: 0–2 years) – 10-month academic contract</w:t>
            </w:r>
          </w:p>
        </w:tc>
        <w:tc>
          <w:tcPr/>
          <w:p>
            <w:pPr>
              <w:pStyle w:val="Compact"/>
              <w:jc w:val="left"/>
            </w:pPr>
            <w:r>
              <w:t xml:space="preserve">48 positions</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05</w:t>
            </w:r>
          </w:p>
        </w:tc>
        <w:tc>
          <w:tcPr/>
          <w:p>
            <w:pPr>
              <w:pStyle w:val="Compact"/>
              <w:jc w:val="left"/>
            </w:pPr>
            <w:r>
              <w:t xml:space="preserve">Statutory Social Insurance &amp; Housing Fund Contributions (employer portion, China Beijing standard rates)</w:t>
            </w:r>
          </w:p>
        </w:tc>
        <w:tc>
          <w:tcPr/>
          <w:p>
            <w:pPr>
              <w:pStyle w:val="Compact"/>
              <w:jc w:val="left"/>
            </w:pPr>
            <w:r>
              <w:t xml:space="preserve">48 positions</w:t>
            </w:r>
          </w:p>
        </w:tc>
        <w:tc>
          <w:tcPr/>
          <w:p>
            <w:pPr>
              <w:pStyle w:val="Compact"/>
              <w:jc w:val="left"/>
            </w:pPr>
            <w:r>
              <w:t xml:space="preserve">42,000</w:t>
            </w:r>
          </w:p>
        </w:tc>
        <w:tc>
          <w:tcPr/>
          <w:p>
            <w:pPr>
              <w:pStyle w:val="Compact"/>
              <w:jc w:val="left"/>
            </w:pPr>
            <w:r>
              <w:t xml:space="preserve">2,016,000</w:t>
            </w:r>
          </w:p>
        </w:tc>
      </w:tr>
      <w:tr>
        <w:tc>
          <w:tcPr/>
          <w:p>
            <w:pPr>
              <w:pStyle w:val="Compact"/>
              <w:jc w:val="left"/>
            </w:pPr>
            <w:r>
              <w:t xml:space="preserve">06</w:t>
            </w:r>
          </w:p>
        </w:tc>
        <w:tc>
          <w:tcPr/>
          <w:p>
            <w:pPr>
              <w:pStyle w:val="Compact"/>
              <w:jc w:val="left"/>
            </w:pPr>
            <w:r>
              <w:t xml:space="preserve">Professional Development &amp; CPD Training Programme for Teacher Secondary staff (minimum 72 hours per academic year, aligned with Beijing Secondary Education Standards)</w:t>
            </w:r>
          </w:p>
        </w:tc>
        <w:tc>
          <w:tcPr/>
          <w:p>
            <w:pPr>
              <w:pStyle w:val="Compact"/>
              <w:jc w:val="left"/>
            </w:pPr>
            <w:r>
              <w:t xml:space="preserve">48 positions</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07</w:t>
            </w:r>
          </w:p>
        </w:tc>
        <w:tc>
          <w:tcPr/>
          <w:p>
            <w:pPr>
              <w:pStyle w:val="Compact"/>
              <w:jc w:val="left"/>
            </w:pPr>
            <w:r>
              <w:t xml:space="preserve">Accommodation Allowance / Housing Subsidy (Teacher Secondary – within designated school zones in China Beijing)</w:t>
            </w:r>
          </w:p>
        </w:tc>
        <w:tc>
          <w:tcPr/>
          <w:p>
            <w:pPr>
              <w:pStyle w:val="Compact"/>
              <w:jc w:val="left"/>
            </w:pPr>
            <w:r>
              <w:t xml:space="preserve">48 positions</w:t>
            </w:r>
          </w:p>
        </w:tc>
        <w:tc>
          <w:tcPr/>
          <w:p>
            <w:pPr>
              <w:pStyle w:val="Compact"/>
              <w:jc w:val="left"/>
            </w:pPr>
            <w:r>
              <w:t xml:space="preserve">28,000</w:t>
            </w:r>
          </w:p>
        </w:tc>
        <w:tc>
          <w:tcPr/>
          <w:p>
            <w:pPr>
              <w:pStyle w:val="Compact"/>
              <w:jc w:val="left"/>
            </w:pPr>
            <w:r>
              <w:t xml:space="preserve">1,344,000</w:t>
            </w:r>
          </w:p>
        </w:tc>
      </w:tr>
      <w:tr>
        <w:tc>
          <w:tcPr/>
          <w:p>
            <w:pPr>
              <w:pStyle w:val="Compact"/>
              <w:jc w:val="left"/>
            </w:pPr>
            <w:r>
              <w:t xml:space="preserve">08</w:t>
            </w:r>
          </w:p>
        </w:tc>
        <w:tc>
          <w:tcPr/>
          <w:p>
            <w:pPr>
              <w:pStyle w:val="Compact"/>
              <w:jc w:val="left"/>
            </w:pPr>
            <w:r>
              <w:t xml:space="preserve">Annual Health Insurance &amp; Medical Examination (compliant with China Beijing public health regulations)</w:t>
            </w:r>
          </w:p>
        </w:tc>
        <w:tc>
          <w:tcPr/>
          <w:p>
            <w:pPr>
              <w:pStyle w:val="Compact"/>
              <w:jc w:val="left"/>
            </w:pPr>
            <w:r>
              <w:t xml:space="preserve">48 positions</w:t>
            </w:r>
          </w:p>
        </w:tc>
        <w:tc>
          <w:tcPr/>
          <w:p>
            <w:pPr>
              <w:pStyle w:val="Compact"/>
              <w:jc w:val="left"/>
            </w:pPr>
            <w:r>
              <w:t xml:space="preserve">4,200</w:t>
            </w:r>
          </w:p>
        </w:tc>
        <w:tc>
          <w:tcPr/>
          <w:p>
            <w:pPr>
              <w:pStyle w:val="Compact"/>
              <w:jc w:val="left"/>
            </w:pPr>
            <w:r>
              <w:t xml:space="preserve">201,600</w:t>
            </w:r>
          </w:p>
        </w:tc>
      </w:tr>
      <w:tr>
        <w:tc>
          <w:tcPr/>
          <w:p>
            <w:pPr>
              <w:pStyle w:val="Compact"/>
              <w:jc w:val="left"/>
            </w:pPr>
            <w:r>
              <w:t xml:space="preserve">09</w:t>
            </w:r>
          </w:p>
        </w:tc>
        <w:tc>
          <w:tcPr/>
          <w:p>
            <w:pPr>
              <w:pStyle w:val="Compact"/>
              <w:jc w:val="left"/>
            </w:pPr>
            <w:r>
              <w:t xml:space="preserve">Administrative &amp; Contract Management Fee (ongoing HR support, payroll processing, compliance monitoring for Teacher Secondary staff)</w:t>
            </w:r>
          </w:p>
        </w:tc>
        <w:tc>
          <w:tcPr/>
          <w:p>
            <w:pPr>
              <w:pStyle w:val="Compact"/>
              <w:jc w:val="left"/>
            </w:pPr>
            <w:r>
              <w:t xml:space="preserve">1 year</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Contingency &amp; Miscellaneous (relocation assistance, emergency travel, replacement recruitment buffer – estimated at 5%)</w:t>
            </w:r>
          </w:p>
        </w:tc>
        <w:tc>
          <w:tcPr/>
          <w:p>
            <w:pPr>
              <w:pStyle w:val="Compact"/>
              <w:jc w:val="left"/>
            </w:pPr>
            <w:r>
              <w:t xml:space="preserve">1 lot</w:t>
            </w:r>
          </w:p>
        </w:tc>
        <w:tc>
          <w:tcPr/>
          <w:p>
            <w:pPr>
              <w:pStyle w:val="Compact"/>
              <w:jc w:val="left"/>
            </w:pPr>
            <w:r>
              <w:t xml:space="preserve">625,000</w:t>
            </w:r>
          </w:p>
        </w:tc>
        <w:tc>
          <w:tcPr/>
          <w:p>
            <w:pPr>
              <w:pStyle w:val="Compact"/>
              <w:jc w:val="left"/>
            </w:pPr>
            <w:r>
              <w:t xml:space="preserve">625,000</w:t>
            </w:r>
          </w:p>
        </w:tc>
      </w:tr>
      <w:tr>
        <w:tc>
          <w:tcPr>
            <w:gridSpan w:val="4"/>
          </w:tcPr>
          <w:p>
            <w:pPr>
              <w:pStyle w:val="Compact"/>
              <w:jc w:val="left"/>
            </w:pPr>
            <w:r>
              <w:rPr>
                <w:bCs/>
                <w:b/>
              </w:rPr>
              <w:t xml:space="preserve">GRAND TOTAL (CNY)</w:t>
            </w:r>
          </w:p>
        </w:tc>
        <w:tc>
          <w:tcPr/>
          <w:p>
            <w:pPr>
              <w:pStyle w:val="Compact"/>
              <w:jc w:val="left"/>
            </w:pPr>
            <w:r>
              <w:rPr>
                <w:bCs/>
                <w:b/>
              </w:rPr>
              <w:t xml:space="preserve">14,590,600</w:t>
            </w:r>
          </w:p>
        </w:tc>
      </w:tr>
    </w:tbl>
    <w:bookmarkEnd w:id="21"/>
    <w:bookmarkStart w:id="22"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Execution &amp; Quotation Estimate Acceptance</w:t>
            </w:r>
          </w:p>
        </w:tc>
        <w:tc>
          <w:tcPr/>
          <w:p>
            <w:pPr>
              <w:pStyle w:val="Compact"/>
              <w:jc w:val="left"/>
            </w:pPr>
            <w:r>
              <w:t xml:space="preserve">20%</w:t>
            </w:r>
          </w:p>
        </w:tc>
        <w:tc>
          <w:tcPr/>
          <w:p>
            <w:pPr>
              <w:pStyle w:val="Compact"/>
              <w:jc w:val="left"/>
            </w:pPr>
            <w:r>
              <w:t xml:space="preserve">2,918,120</w:t>
            </w:r>
          </w:p>
        </w:tc>
        <w:tc>
          <w:tcPr/>
          <w:p>
            <w:pPr>
              <w:pStyle w:val="Compact"/>
              <w:jc w:val="left"/>
            </w:pPr>
            <w:r>
              <w:t xml:space="preserve">Within 10 business days of signing</w:t>
            </w:r>
          </w:p>
        </w:tc>
      </w:tr>
      <w:tr>
        <w:tc>
          <w:tcPr/>
          <w:p>
            <w:pPr>
              <w:pStyle w:val="Compact"/>
              <w:jc w:val="left"/>
            </w:pPr>
            <w:r>
              <w:t xml:space="preserve">Completion of Recruitment &amp; Visa Processing (all Teacher Secondary candidates confirmed)</w:t>
            </w:r>
          </w:p>
        </w:tc>
        <w:tc>
          <w:tcPr/>
          <w:p>
            <w:pPr>
              <w:pStyle w:val="Compact"/>
              <w:jc w:val="left"/>
            </w:pPr>
            <w:r>
              <w:t xml:space="preserve">30%</w:t>
            </w:r>
          </w:p>
        </w:tc>
        <w:tc>
          <w:tcPr/>
          <w:p>
            <w:pPr>
              <w:pStyle w:val="Compact"/>
              <w:jc w:val="left"/>
            </w:pPr>
            <w:r>
              <w:t xml:space="preserve">4,377,180</w:t>
            </w:r>
          </w:p>
        </w:tc>
        <w:tc>
          <w:tcPr/>
          <w:p>
            <w:pPr>
              <w:pStyle w:val="Compact"/>
              <w:jc w:val="left"/>
            </w:pPr>
            <w:r>
              <w:t xml:space="preserve">Upon written confirmation of placement</w:t>
            </w:r>
          </w:p>
        </w:tc>
      </w:tr>
      <w:tr>
        <w:tc>
          <w:tcPr/>
          <w:p>
            <w:pPr>
              <w:pStyle w:val="Compact"/>
              <w:jc w:val="left"/>
            </w:pPr>
            <w:r>
              <w:t xml:space="preserve">Mid-Term (Month 5 of academic year)</w:t>
            </w:r>
          </w:p>
        </w:tc>
        <w:tc>
          <w:tcPr/>
          <w:p>
            <w:pPr>
              <w:pStyle w:val="Compact"/>
              <w:jc w:val="left"/>
            </w:pPr>
            <w:r>
              <w:t xml:space="preserve">30%</w:t>
            </w:r>
          </w:p>
        </w:tc>
        <w:tc>
          <w:tcPr/>
          <w:p>
            <w:pPr>
              <w:pStyle w:val="Compact"/>
              <w:jc w:val="left"/>
            </w:pPr>
            <w:r>
              <w:t xml:space="preserve">4,377,180</w:t>
            </w:r>
          </w:p>
        </w:tc>
        <w:tc>
          <w:tcPr/>
          <w:p>
            <w:pPr>
              <w:pStyle w:val="Compact"/>
              <w:jc w:val="left"/>
            </w:pPr>
            <w:r>
              <w:t xml:space="preserve">15 January 2026</w:t>
            </w:r>
          </w:p>
        </w:tc>
      </w:tr>
      <w:tr>
        <w:tc>
          <w:tcPr/>
          <w:p>
            <w:pPr>
              <w:pStyle w:val="Compact"/>
              <w:jc w:val="left"/>
            </w:pPr>
            <w:r>
              <w:t xml:space="preserve">Final Settlement &amp; End-of-Year Reporting</w:t>
            </w:r>
          </w:p>
        </w:tc>
        <w:tc>
          <w:tcPr/>
          <w:p>
            <w:pPr>
              <w:pStyle w:val="Compact"/>
              <w:jc w:val="left"/>
            </w:pPr>
            <w:r>
              <w:t xml:space="preserve">20%</w:t>
            </w:r>
          </w:p>
        </w:tc>
        <w:tc>
          <w:tcPr/>
          <w:p>
            <w:pPr>
              <w:pStyle w:val="Compact"/>
              <w:jc w:val="left"/>
            </w:pPr>
            <w:r>
              <w:t xml:space="preserve">2,918,120</w:t>
            </w:r>
          </w:p>
        </w:tc>
        <w:tc>
          <w:tcPr/>
          <w:p>
            <w:pPr>
              <w:pStyle w:val="Compact"/>
              <w:jc w:val="left"/>
            </w:pPr>
            <w:r>
              <w:t xml:space="preserve">30 June 2026</w:t>
            </w:r>
          </w:p>
        </w:tc>
      </w:tr>
    </w:tbl>
    <w:bookmarkEnd w:id="22"/>
    <w:bookmarkStart w:id="23" w:name="terms-and-conditions"/>
    <w:p>
      <w:pPr>
        <w:pStyle w:val="Heading2"/>
      </w:pPr>
      <w:r>
        <w:t xml:space="preserve">4. Terms and Conditions</w:t>
      </w:r>
    </w:p>
    <w:p>
      <w:pPr>
        <w:numPr>
          <w:ilvl w:val="0"/>
          <w:numId w:val="1001"/>
        </w:numPr>
        <w:pStyle w:val="Compact"/>
      </w:pPr>
      <w:r>
        <w:t xml:space="preserve">This Quotation Estimate is valid for a period of ninety (90) calendar days from the date of issue. Beyond this period, all pricing for Teacher Secondary positions may be subject to revision based on prevailing China Beijing labour market conditions and regulatory changes.</w:t>
      </w:r>
    </w:p>
    <w:p>
      <w:pPr>
        <w:numPr>
          <w:ilvl w:val="0"/>
          <w:numId w:val="1001"/>
        </w:numPr>
        <w:pStyle w:val="Compact"/>
      </w:pPr>
      <w:r>
        <w:t xml:space="preserve">All Teacher Secondary candidates must hold a minimum of a Bachelor's degree in their subject discipline and a valid teaching qualification recognized by the Beijing Municipal Education Commission. Foreign-national Teacher Secondary candidates must additionally possess a minimum of two (2) years of post-qualification teaching experience at the secondary level.</w:t>
      </w:r>
    </w:p>
    <w:p>
      <w:pPr>
        <w:numPr>
          <w:ilvl w:val="0"/>
          <w:numId w:val="1001"/>
        </w:numPr>
        <w:pStyle w:val="Compact"/>
      </w:pPr>
      <w:r>
        <w:t xml:space="preserve">Employment contracts for all Teacher Secondary staff shall be governed by the Labour Contract Law of the People's Republic of China and the specific regulations of the China Beijing municipal education authority.</w:t>
      </w:r>
    </w:p>
    <w:p>
      <w:pPr>
        <w:numPr>
          <w:ilvl w:val="0"/>
          <w:numId w:val="1001"/>
        </w:numPr>
        <w:pStyle w:val="Compact"/>
      </w:pPr>
      <w:r>
        <w:t xml:space="preserve">The client reserves the right to request substitution of any Teacher Secondary candidate within the first thirty (30) days of the academic year at no additional recruitment cost, provided a suitable replacement is identified.</w:t>
      </w:r>
    </w:p>
    <w:p>
      <w:pPr>
        <w:numPr>
          <w:ilvl w:val="0"/>
          <w:numId w:val="1001"/>
        </w:numPr>
        <w:pStyle w:val="Compact"/>
      </w:pPr>
      <w:r>
        <w:t xml:space="preserve">All personal data collected during the recruitment and onboarding of Teacher Secondary personnel shall be handled in strict compliance with the Personal Information Protection Law (PIPL) of the People's Republic of China.</w:t>
      </w:r>
    </w:p>
    <w:p>
      <w:pPr>
        <w:numPr>
          <w:ilvl w:val="0"/>
          <w:numId w:val="1001"/>
        </w:numPr>
        <w:pStyle w:val="Compact"/>
      </w:pPr>
      <w:r>
        <w:t xml:space="preserve">Disputes arising from this Quotation Estimate shall be resolved through arbitration at the Beijing Arbitration Commission in accordance with its rules of procedure.</w:t>
      </w:r>
    </w:p>
    <w:bookmarkEnd w:id="23"/>
    <w:bookmarkStart w:id="24" w:name="Xbe1337374138f7bc3804cf7fa7d51a7868be1b4"/>
    <w:p>
      <w:pPr>
        <w:pStyle w:val="Heading2"/>
      </w:pPr>
      <w:r>
        <w:t xml:space="preserve">5. Regulatory &amp; Compliance Notes – China Beijing</w:t>
      </w:r>
    </w:p>
    <w:p>
      <w:pPr>
        <w:pStyle w:val="FirstParagraph"/>
      </w:pPr>
      <w:r>
        <w:rPr>
          <w:bCs/>
          <w:b/>
        </w:rPr>
        <w:t xml:space="preserve">Important:</w:t>
      </w:r>
      <w:r>
        <w:t xml:space="preserve"> </w:t>
      </w:r>
      <w:r>
        <w:t xml:space="preserve">This Quotation Estimate has been prepared in full compliance with the 2025 Beijing Municipal Secondary Education Staffing Regulations (京教人〔2025〕12号) and the National Standard for Teacher Qualifications at the Secondary Level (GB/T 36557-2024). All Teacher Secondary placements under this estimate are subject to final approval by the Beijing Municipal Education Commission. The China Beijing municipal government reserves the right to adjust salary floors, social insurance contribution rates, and professional development hour requirements during the contract period, which may result in a proportional adjustment to the total Quotation Estimate value.</w:t>
      </w:r>
    </w:p>
    <w:bookmarkEnd w:id="24"/>
    <w:bookmarkStart w:id="25" w:name="acceptance-and-authorization"/>
    <w:p>
      <w:pPr>
        <w:pStyle w:val="Heading2"/>
      </w:pPr>
      <w:r>
        <w:t xml:space="preserve">6. Acceptance and Authorization</w:t>
      </w:r>
    </w:p>
    <w:p>
      <w:pPr>
        <w:pStyle w:val="FirstParagraph"/>
      </w:pPr>
      <w:r>
        <w:t xml:space="preserve">By signing below, the client acknowledges receipt of this Quotation Estimate for Teacher Secondary recruitment and placement services in China Beijing and agrees to the terms, conditions, and pricing structure outlined herein.</w:t>
      </w:r>
    </w:p>
    <w:p>
      <w:pPr>
        <w:pStyle w:val="BodyText"/>
      </w:pPr>
      <w:r>
        <w:rPr>
          <w:bCs/>
          <w:b/>
        </w:rPr>
        <w:t xml:space="preserve">For: Beijing International Education Staffing Co., Ltd.</w:t>
      </w:r>
      <w:r>
        <w:br/>
      </w:r>
      <w:r>
        <w:t xml:space="preserve">Name: ___________________________</w:t>
      </w:r>
      <w:r>
        <w:br/>
      </w:r>
      <w:r>
        <w:t xml:space="preserve">Title: Director of Education Placement</w:t>
      </w:r>
      <w:r>
        <w:br/>
      </w:r>
      <w:r>
        <w:t xml:space="preserve">Date: ___________________________</w:t>
      </w:r>
    </w:p>
    <w:p>
      <w:pPr>
        <w:pStyle w:val="BodyText"/>
      </w:pPr>
      <w:r>
        <w:rPr>
          <w:bCs/>
          <w:b/>
        </w:rPr>
        <w:t xml:space="preserve">For: Beijing Municipal Secondary Education Bureau</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No. QTE-2025-BJ-0472 | Teacher Secondary | China Beijing | Page 1 of 1</w:t>
      </w:r>
      <w:r>
        <w:br/>
      </w:r>
      <w:r>
        <w:t xml:space="preserve">This document is confidential and intended solely for the named recipient. Unauthorized reproduction or distribution is prohibited under PRC copyright law.</w:t>
      </w:r>
      <w:r>
        <w:br/>
      </w:r>
      <w:r>
        <w:t xml:space="preserve">Beijing International Education Staffing Co., Ltd. – Unified Social Credit Code: 91110105MA01XXXX2K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China Beijing</dc:title>
  <dc:creator/>
  <dc:language>en</dc:language>
  <cp:keywords/>
  <dcterms:created xsi:type="dcterms:W3CDTF">2026-10-10T05:48:14Z</dcterms:created>
  <dcterms:modified xsi:type="dcterms:W3CDTF">2026-10-10T05:48:14Z</dcterms:modified>
</cp:coreProperties>
</file>

<file path=docProps/custom.xml><?xml version="1.0" encoding="utf-8"?>
<Properties xmlns="http://schemas.openxmlformats.org/officeDocument/2006/custom-properties" xmlns:vt="http://schemas.openxmlformats.org/officeDocument/2006/docPropsVTypes"/>
</file>