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Teacher</w:t>
      </w:r>
      <w:r>
        <w:t xml:space="preserve"> </w:t>
      </w:r>
      <w:r>
        <w:t xml:space="preserve">Secondary</w:t>
      </w:r>
      <w:r>
        <w:t xml:space="preserve"> </w:t>
      </w:r>
      <w:r>
        <w:t xml:space="preserve">-</w:t>
      </w:r>
      <w:r>
        <w:t xml:space="preserve"> </w:t>
      </w:r>
      <w:r>
        <w:t xml:space="preserve">China</w:t>
      </w:r>
      <w:r>
        <w:t xml:space="preserve"> </w:t>
      </w:r>
      <w:r>
        <w:t xml:space="preserve">Guangzhou</w:t>
      </w:r>
    </w:p>
    <w:bookmarkStart w:id="20" w:name="quotation-estimate"/>
    <w:p>
      <w:pPr>
        <w:pStyle w:val="Heading1"/>
      </w:pPr>
      <w:r>
        <w:t xml:space="preserve">QUOTATION ESTIMATE</w:t>
      </w:r>
    </w:p>
    <w:p>
      <w:pPr>
        <w:pStyle w:val="FirstParagraph"/>
      </w:pPr>
      <w:r>
        <w:t xml:space="preserve">Professional Teacher Secondary Services — China Guangzhou</w:t>
      </w:r>
    </w:p>
    <w:p>
      <w:pPr>
        <w:pStyle w:val="BodyText"/>
      </w:pPr>
      <w:r>
        <w:t xml:space="preserve">Document No. QE-GZ-2025-0417</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Date</w:t>
            </w:r>
          </w:p>
        </w:tc>
        <w:tc>
          <w:tcPr/>
          <w:p>
            <w:pPr>
              <w:pStyle w:val="Compact"/>
              <w:jc w:val="left"/>
            </w:pPr>
            <w:r>
              <w:t xml:space="preserve">June 15, 2025</w:t>
            </w:r>
          </w:p>
        </w:tc>
        <w:tc>
          <w:tcPr/>
          <w:p>
            <w:pPr>
              <w:pStyle w:val="Compact"/>
              <w:jc w:val="left"/>
            </w:pPr>
            <w:r>
              <w:t xml:space="preserve">Validity Period</w:t>
            </w:r>
          </w:p>
        </w:tc>
        <w:tc>
          <w:tcPr/>
          <w:p>
            <w:pPr>
              <w:pStyle w:val="Compact"/>
              <w:jc w:val="left"/>
            </w:pPr>
            <w:r>
              <w:t xml:space="preserve">30 Calendar Days</w:t>
            </w:r>
          </w:p>
        </w:tc>
      </w:tr>
      <w:tr>
        <w:tc>
          <w:tcPr/>
          <w:p>
            <w:pPr>
              <w:pStyle w:val="Compact"/>
              <w:jc w:val="left"/>
            </w:pPr>
            <w:r>
              <w:t xml:space="preserve">Prepared By</w:t>
            </w:r>
          </w:p>
        </w:tc>
        <w:tc>
          <w:tcPr/>
          <w:p>
            <w:pPr>
              <w:pStyle w:val="Compact"/>
              <w:jc w:val="left"/>
            </w:pPr>
            <w:r>
              <w:t xml:space="preserve">Guangzhou International Education Services Co., Ltd.</w:t>
            </w:r>
          </w:p>
        </w:tc>
        <w:tc>
          <w:tcPr/>
          <w:p>
            <w:pPr>
              <w:pStyle w:val="Compact"/>
              <w:jc w:val="left"/>
            </w:pPr>
            <w:r>
              <w:t xml:space="preserve">Currency</w:t>
            </w:r>
          </w:p>
        </w:tc>
        <w:tc>
          <w:tcPr/>
          <w:p>
            <w:pPr>
              <w:pStyle w:val="Compact"/>
              <w:jc w:val="left"/>
            </w:pPr>
            <w:r>
              <w:t xml:space="preserve">Chinese Yuan (CNY / RMB)</w:t>
            </w:r>
          </w:p>
        </w:tc>
      </w:tr>
      <w:tr>
        <w:tc>
          <w:tcPr/>
          <w:p>
            <w:pPr>
              <w:pStyle w:val="Compact"/>
              <w:jc w:val="left"/>
            </w:pPr>
            <w:r>
              <w:t xml:space="preserve">Service Location</w:t>
            </w:r>
          </w:p>
        </w:tc>
        <w:tc>
          <w:tcPr/>
          <w:p>
            <w:pPr>
              <w:pStyle w:val="Compact"/>
              <w:jc w:val="left"/>
            </w:pPr>
            <w:r>
              <w:t xml:space="preserve">China Guangzhou, Guangdong Province</w:t>
            </w:r>
          </w:p>
        </w:tc>
        <w:tc>
          <w:tcPr/>
          <w:p>
            <w:pPr>
              <w:pStyle w:val="Compact"/>
              <w:jc w:val="left"/>
            </w:pPr>
            <w:r>
              <w:t xml:space="preserve">Project Code</w:t>
            </w:r>
          </w:p>
        </w:tc>
        <w:tc>
          <w:tcPr/>
          <w:p>
            <w:pPr>
              <w:pStyle w:val="Compact"/>
              <w:jc w:val="left"/>
            </w:pPr>
            <w:r>
              <w:t xml:space="preserve">TS-GZ-2025-SEC</w:t>
            </w:r>
          </w:p>
        </w:tc>
      </w:tr>
      <w:tr>
        <w:tc>
          <w:tcPr/>
          <w:p>
            <w:pPr>
              <w:pStyle w:val="Compact"/>
              <w:jc w:val="left"/>
            </w:pPr>
            <w:r>
              <w:t xml:space="preserve">Client / Institution</w:t>
            </w:r>
          </w:p>
        </w:tc>
        <w:tc>
          <w:tcPr/>
          <w:p>
            <w:pPr>
              <w:pStyle w:val="Compact"/>
              <w:jc w:val="left"/>
            </w:pPr>
            <w:r>
              <w:t xml:space="preserve">Guangzhou Municipal Secondary Education Bureau</w:t>
            </w:r>
          </w:p>
        </w:tc>
        <w:tc>
          <w:tcPr/>
          <w:p>
            <w:pPr>
              <w:pStyle w:val="Compact"/>
              <w:jc w:val="left"/>
            </w:pPr>
            <w:r>
              <w:t xml:space="preserve">Contact Person</w:t>
            </w:r>
          </w:p>
        </w:tc>
        <w:tc>
          <w:tcPr/>
          <w:p>
            <w:pPr>
              <w:pStyle w:val="Compact"/>
              <w:jc w:val="left"/>
            </w:pPr>
            <w:r>
              <w:t xml:space="preserve">Director Wang, Office 412, Tianhe District</w:t>
            </w:r>
          </w:p>
        </w:tc>
      </w:tr>
    </w:tbl>
    <w:bookmarkStart w:id="21" w:name="purpose-of-this-quotation-estimate"/>
    <w:p>
      <w:pPr>
        <w:pStyle w:val="Heading2"/>
      </w:pPr>
      <w:r>
        <w:t xml:space="preserve">1. Purpose of This Quotation Estimate</w:t>
      </w:r>
    </w:p>
    <w:p>
      <w:pPr>
        <w:pStyle w:val="FirstParagraph"/>
      </w:pPr>
      <w:r>
        <w:t xml:space="preserve">This Quotation Estimate is issued by Guangzhou International Education Services Co., Ltd. to provide a comprehensive and itemized financial projection for the recruitment, deployment, and ongoing professional support of qualified</w:t>
      </w:r>
      <w:r>
        <w:t xml:space="preserve"> </w:t>
      </w:r>
      <w:r>
        <w:rPr>
          <w:bCs/>
          <w:b/>
        </w:rPr>
        <w:t xml:space="preserve">Teacher Secondary</w:t>
      </w:r>
      <w:r>
        <w:t xml:space="preserve"> </w:t>
      </w:r>
      <w:r>
        <w:t xml:space="preserve">personnel within the China Guangzhou metropolitan education network. The scope of this Quotation Estimate covers a full academic year (September 2025 through July 2026) and encompasses all associated costs related to the Teacher Secondary engagement, including compensation, housing, insurance, professional development, and administrative overhead specific to the China Guangzhou operational environment.</w:t>
      </w:r>
    </w:p>
    <w:bookmarkEnd w:id="21"/>
    <w:bookmarkStart w:id="22" w:name="X3467c28f6d2e485025e35c8a79d784caa71d7dc"/>
    <w:p>
      <w:pPr>
        <w:pStyle w:val="Heading2"/>
      </w:pPr>
      <w:r>
        <w:t xml:space="preserve">2. Scope of Services — Teacher Secondary Program</w:t>
      </w:r>
    </w:p>
    <w:p>
      <w:pPr>
        <w:pStyle w:val="FirstParagraph"/>
      </w:pPr>
      <w:r>
        <w:t xml:space="preserve">The Teacher Secondary program under this Quotation Estimate is designed to meet the growing demand for qualified secondary-level educators across public and private schools in China Guangzhou. The services include, but are not limited to:</w:t>
      </w:r>
    </w:p>
    <w:p>
      <w:pPr>
        <w:numPr>
          <w:ilvl w:val="0"/>
          <w:numId w:val="1001"/>
        </w:numPr>
        <w:pStyle w:val="Compact"/>
      </w:pPr>
      <w:r>
        <w:t xml:space="preserve">Recruitment and vetting of certified Teacher Secondary candidates specializing in Mathematics, English, Physics, Chemistry, and Biology for secondary schools (Grades 7–12) in Guangzhou.</w:t>
      </w:r>
    </w:p>
    <w:p>
      <w:pPr>
        <w:numPr>
          <w:ilvl w:val="0"/>
          <w:numId w:val="1001"/>
        </w:numPr>
        <w:pStyle w:val="Compact"/>
      </w:pPr>
      <w:r>
        <w:t xml:space="preserve">Visa processing, work permit acquisition, and residency registration for all Teacher Secondary staff in compliance with Chinese immigration and labor regulations applicable in Guangzhou.</w:t>
      </w:r>
    </w:p>
    <w:p>
      <w:pPr>
        <w:numPr>
          <w:ilvl w:val="0"/>
          <w:numId w:val="1001"/>
        </w:numPr>
        <w:pStyle w:val="Compact"/>
      </w:pPr>
      <w:r>
        <w:t xml:space="preserve">Provision of furnished temporary housing for Teacher Secondary personnel in designated districts of Guangzhou (Tianhe, Yuexiu, Haizhu, and Panyu).</w:t>
      </w:r>
    </w:p>
    <w:p>
      <w:pPr>
        <w:numPr>
          <w:ilvl w:val="0"/>
          <w:numId w:val="1001"/>
        </w:numPr>
        <w:pStyle w:val="Compact"/>
      </w:pPr>
      <w:r>
        <w:t xml:space="preserve">Comprehensive medical and life insurance coverage for each Teacher Secondary employee throughout the contract term.</w:t>
      </w:r>
    </w:p>
    <w:p>
      <w:pPr>
        <w:numPr>
          <w:ilvl w:val="0"/>
          <w:numId w:val="1001"/>
        </w:numPr>
        <w:pStyle w:val="Compact"/>
      </w:pPr>
      <w:r>
        <w:t xml:space="preserve">Quarterly professional development workshops and curriculum alignment sessions specific to the Chinese secondary education framework.</w:t>
      </w:r>
    </w:p>
    <w:p>
      <w:pPr>
        <w:numPr>
          <w:ilvl w:val="0"/>
          <w:numId w:val="1001"/>
        </w:numPr>
        <w:pStyle w:val="Compact"/>
      </w:pPr>
      <w:r>
        <w:t xml:space="preserve">Ongoing administrative support, payroll processing, and tax compliance management for all Teacher Secondary staff operating in China Guangzhou.</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Cost (CNY)</w:t>
            </w:r>
          </w:p>
        </w:tc>
        <w:tc>
          <w:tcPr/>
          <w:p>
            <w:pPr>
              <w:pStyle w:val="Compact"/>
              <w:jc w:val="left"/>
            </w:pPr>
            <w:r>
              <w:t xml:space="preserve">Subtotal (CNY)</w:t>
            </w:r>
          </w:p>
        </w:tc>
      </w:tr>
      <w:tr>
        <w:tc>
          <w:tcPr/>
          <w:p>
            <w:pPr>
              <w:pStyle w:val="Compact"/>
              <w:jc w:val="left"/>
            </w:pPr>
            <w:r>
              <w:t xml:space="preserve">01</w:t>
            </w:r>
          </w:p>
        </w:tc>
        <w:tc>
          <w:tcPr/>
          <w:p>
            <w:pPr>
              <w:pStyle w:val="Compact"/>
              <w:jc w:val="left"/>
            </w:pPr>
            <w:r>
              <w:t xml:space="preserve">Teacher Secondary Monthly Salary (Senior Level, 12 positions)</w:t>
            </w:r>
          </w:p>
        </w:tc>
        <w:tc>
          <w:tcPr/>
          <w:p>
            <w:pPr>
              <w:pStyle w:val="Compact"/>
              <w:jc w:val="left"/>
            </w:pPr>
            <w:r>
              <w:t xml:space="preserve">12 × 12 months</w:t>
            </w:r>
          </w:p>
        </w:tc>
        <w:tc>
          <w:tcPr/>
          <w:p>
            <w:pPr>
              <w:pStyle w:val="Compact"/>
              <w:jc w:val="left"/>
            </w:pPr>
            <w:r>
              <w:t xml:space="preserve">18,500</w:t>
            </w:r>
          </w:p>
        </w:tc>
        <w:tc>
          <w:tcPr/>
          <w:p>
            <w:pPr>
              <w:pStyle w:val="Compact"/>
              <w:jc w:val="left"/>
            </w:pPr>
            <w:r>
              <w:t xml:space="preserve">2,664,000</w:t>
            </w:r>
          </w:p>
        </w:tc>
      </w:tr>
      <w:tr>
        <w:tc>
          <w:tcPr/>
          <w:p>
            <w:pPr>
              <w:pStyle w:val="Compact"/>
              <w:jc w:val="left"/>
            </w:pPr>
            <w:r>
              <w:t xml:space="preserve">02</w:t>
            </w:r>
          </w:p>
        </w:tc>
        <w:tc>
          <w:tcPr/>
          <w:p>
            <w:pPr>
              <w:pStyle w:val="Compact"/>
              <w:jc w:val="left"/>
            </w:pPr>
            <w:r>
              <w:t xml:space="preserve">Teacher Secondary Monthly Salary (Mid-Level, 8 positions)</w:t>
            </w:r>
          </w:p>
        </w:tc>
        <w:tc>
          <w:tcPr/>
          <w:p>
            <w:pPr>
              <w:pStyle w:val="Compact"/>
              <w:jc w:val="left"/>
            </w:pPr>
            <w:r>
              <w:t xml:space="preserve">8 × 12 months</w:t>
            </w:r>
          </w:p>
        </w:tc>
        <w:tc>
          <w:tcPr/>
          <w:p>
            <w:pPr>
              <w:pStyle w:val="Compact"/>
              <w:jc w:val="left"/>
            </w:pPr>
            <w:r>
              <w:t xml:space="preserve">14,200</w:t>
            </w:r>
          </w:p>
        </w:tc>
        <w:tc>
          <w:tcPr/>
          <w:p>
            <w:pPr>
              <w:pStyle w:val="Compact"/>
              <w:jc w:val="left"/>
            </w:pPr>
            <w:r>
              <w:t xml:space="preserve">1,363,200</w:t>
            </w:r>
          </w:p>
        </w:tc>
      </w:tr>
      <w:tr>
        <w:tc>
          <w:tcPr/>
          <w:p>
            <w:pPr>
              <w:pStyle w:val="Compact"/>
              <w:jc w:val="left"/>
            </w:pPr>
            <w:r>
              <w:t xml:space="preserve">03</w:t>
            </w:r>
          </w:p>
        </w:tc>
        <w:tc>
          <w:tcPr/>
          <w:p>
            <w:pPr>
              <w:pStyle w:val="Compact"/>
              <w:jc w:val="left"/>
            </w:pPr>
            <w:r>
              <w:t xml:space="preserve">Teacher Secondary Housing Allowance (Guangzhou Districts)</w:t>
            </w:r>
          </w:p>
        </w:tc>
        <w:tc>
          <w:tcPr/>
          <w:p>
            <w:pPr>
              <w:pStyle w:val="Compact"/>
              <w:jc w:val="left"/>
            </w:pPr>
            <w:r>
              <w:t xml:space="preserve">20 × 12 months</w:t>
            </w:r>
          </w:p>
        </w:tc>
        <w:tc>
          <w:tcPr/>
          <w:p>
            <w:pPr>
              <w:pStyle w:val="Compact"/>
              <w:jc w:val="left"/>
            </w:pPr>
            <w:r>
              <w:t xml:space="preserve">4,500</w:t>
            </w:r>
          </w:p>
        </w:tc>
        <w:tc>
          <w:tcPr/>
          <w:p>
            <w:pPr>
              <w:pStyle w:val="Compact"/>
              <w:jc w:val="left"/>
            </w:pPr>
            <w:r>
              <w:t xml:space="preserve">1,080,000</w:t>
            </w:r>
          </w:p>
        </w:tc>
      </w:tr>
      <w:tr>
        <w:tc>
          <w:tcPr/>
          <w:p>
            <w:pPr>
              <w:pStyle w:val="Compact"/>
              <w:jc w:val="left"/>
            </w:pPr>
            <w:r>
              <w:t xml:space="preserve">04</w:t>
            </w:r>
          </w:p>
        </w:tc>
        <w:tc>
          <w:tcPr/>
          <w:p>
            <w:pPr>
              <w:pStyle w:val="Compact"/>
              <w:jc w:val="left"/>
            </w:pPr>
            <w:r>
              <w:t xml:space="preserve">Medical &amp; Life Insurance per Teacher Secondary Staff</w:t>
            </w:r>
          </w:p>
        </w:tc>
        <w:tc>
          <w:tcPr/>
          <w:p>
            <w:pPr>
              <w:pStyle w:val="Compact"/>
              <w:jc w:val="left"/>
            </w:pPr>
            <w:r>
              <w:t xml:space="preserve">20 × 12 months</w:t>
            </w:r>
          </w:p>
        </w:tc>
        <w:tc>
          <w:tcPr/>
          <w:p>
            <w:pPr>
              <w:pStyle w:val="Compact"/>
              <w:jc w:val="left"/>
            </w:pPr>
            <w:r>
              <w:t xml:space="preserve">2,800</w:t>
            </w:r>
          </w:p>
        </w:tc>
        <w:tc>
          <w:tcPr/>
          <w:p>
            <w:pPr>
              <w:pStyle w:val="Compact"/>
              <w:jc w:val="left"/>
            </w:pPr>
            <w:r>
              <w:t xml:space="preserve">672,000</w:t>
            </w:r>
          </w:p>
        </w:tc>
      </w:tr>
      <w:tr>
        <w:tc>
          <w:tcPr/>
          <w:p>
            <w:pPr>
              <w:pStyle w:val="Compact"/>
              <w:jc w:val="left"/>
            </w:pPr>
            <w:r>
              <w:t xml:space="preserve">05</w:t>
            </w:r>
          </w:p>
        </w:tc>
        <w:tc>
          <w:tcPr/>
          <w:p>
            <w:pPr>
              <w:pStyle w:val="Compact"/>
              <w:jc w:val="left"/>
            </w:pPr>
            <w:r>
              <w:t xml:space="preserve">Visa, Work Permit &amp; Residency Processing (China Guangzhou)</w:t>
            </w:r>
          </w:p>
        </w:tc>
        <w:tc>
          <w:tcPr/>
          <w:p>
            <w:pPr>
              <w:pStyle w:val="Compact"/>
              <w:jc w:val="left"/>
            </w:pPr>
            <w:r>
              <w:t xml:space="preserve">20 (one-time)</w:t>
            </w:r>
          </w:p>
        </w:tc>
        <w:tc>
          <w:tcPr/>
          <w:p>
            <w:pPr>
              <w:pStyle w:val="Compact"/>
              <w:jc w:val="left"/>
            </w:pPr>
            <w:r>
              <w:t xml:space="preserve">6,500</w:t>
            </w:r>
          </w:p>
        </w:tc>
        <w:tc>
          <w:tcPr/>
          <w:p>
            <w:pPr>
              <w:pStyle w:val="Compact"/>
              <w:jc w:val="left"/>
            </w:pPr>
            <w:r>
              <w:t xml:space="preserve">130,000</w:t>
            </w:r>
          </w:p>
        </w:tc>
      </w:tr>
      <w:tr>
        <w:tc>
          <w:tcPr/>
          <w:p>
            <w:pPr>
              <w:pStyle w:val="Compact"/>
              <w:jc w:val="left"/>
            </w:pPr>
            <w:r>
              <w:t xml:space="preserve">06</w:t>
            </w:r>
          </w:p>
        </w:tc>
        <w:tc>
          <w:tcPr/>
          <w:p>
            <w:pPr>
              <w:pStyle w:val="Compact"/>
              <w:jc w:val="left"/>
            </w:pPr>
            <w:r>
              <w:t xml:space="preserve">Professional Development &amp; Curriculum Training (Quarterly)</w:t>
            </w:r>
          </w:p>
        </w:tc>
        <w:tc>
          <w:tcPr/>
          <w:p>
            <w:pPr>
              <w:pStyle w:val="Compact"/>
              <w:jc w:val="left"/>
            </w:pPr>
            <w:r>
              <w:t xml:space="preserve">20 × 4 sessions</w:t>
            </w:r>
          </w:p>
        </w:tc>
        <w:tc>
          <w:tcPr/>
          <w:p>
            <w:pPr>
              <w:pStyle w:val="Compact"/>
              <w:jc w:val="left"/>
            </w:pPr>
            <w:r>
              <w:t xml:space="preserve">3,200</w:t>
            </w:r>
          </w:p>
        </w:tc>
        <w:tc>
          <w:tcPr/>
          <w:p>
            <w:pPr>
              <w:pStyle w:val="Compact"/>
              <w:jc w:val="left"/>
            </w:pPr>
            <w:r>
              <w:t xml:space="preserve">256,000</w:t>
            </w:r>
          </w:p>
        </w:tc>
      </w:tr>
      <w:tr>
        <w:tc>
          <w:tcPr/>
          <w:p>
            <w:pPr>
              <w:pStyle w:val="Compact"/>
              <w:jc w:val="left"/>
            </w:pPr>
            <w:r>
              <w:t xml:space="preserve">07</w:t>
            </w:r>
          </w:p>
        </w:tc>
        <w:tc>
          <w:tcPr/>
          <w:p>
            <w:pPr>
              <w:pStyle w:val="Compact"/>
              <w:jc w:val="left"/>
            </w:pPr>
            <w:r>
              <w:t xml:space="preserve">Administrative &amp; Payroll Management (China Guangzhou Office)</w:t>
            </w:r>
          </w:p>
        </w:tc>
        <w:tc>
          <w:tcPr/>
          <w:p>
            <w:pPr>
              <w:pStyle w:val="Compact"/>
              <w:jc w:val="left"/>
            </w:pPr>
            <w:r>
              <w:t xml:space="preserve">12 months</w:t>
            </w:r>
          </w:p>
        </w:tc>
        <w:tc>
          <w:tcPr/>
          <w:p>
            <w:pPr>
              <w:pStyle w:val="Compact"/>
              <w:jc w:val="left"/>
            </w:pPr>
            <w:r>
              <w:t xml:space="preserve">28,000</w:t>
            </w:r>
          </w:p>
        </w:tc>
        <w:tc>
          <w:tcPr/>
          <w:p>
            <w:pPr>
              <w:pStyle w:val="Compact"/>
              <w:jc w:val="left"/>
            </w:pPr>
            <w:r>
              <w:t xml:space="preserve">336,000</w:t>
            </w:r>
          </w:p>
        </w:tc>
      </w:tr>
      <w:tr>
        <w:tc>
          <w:tcPr/>
          <w:p>
            <w:pPr>
              <w:pStyle w:val="Compact"/>
              <w:jc w:val="left"/>
            </w:pPr>
            <w:r>
              <w:t xml:space="preserve">08</w:t>
            </w:r>
          </w:p>
        </w:tc>
        <w:tc>
          <w:tcPr/>
          <w:p>
            <w:pPr>
              <w:pStyle w:val="Compact"/>
              <w:jc w:val="left"/>
            </w:pPr>
            <w:r>
              <w:t xml:space="preserve">Annual Airfare (Round Trip, Home Country to Guangzhou)</w:t>
            </w:r>
          </w:p>
        </w:tc>
        <w:tc>
          <w:tcPr/>
          <w:p>
            <w:pPr>
              <w:pStyle w:val="Compact"/>
              <w:jc w:val="left"/>
            </w:pPr>
            <w:r>
              <w:t xml:space="preserve">20 tickets</w:t>
            </w:r>
          </w:p>
        </w:tc>
        <w:tc>
          <w:tcPr/>
          <w:p>
            <w:pPr>
              <w:pStyle w:val="Compact"/>
              <w:jc w:val="left"/>
            </w:pPr>
            <w:r>
              <w:t xml:space="preserve">9,800</w:t>
            </w:r>
          </w:p>
        </w:tc>
        <w:tc>
          <w:tcPr/>
          <w:p>
            <w:pPr>
              <w:pStyle w:val="Compact"/>
              <w:jc w:val="left"/>
            </w:pPr>
            <w:r>
              <w:t xml:space="preserve">196,000</w:t>
            </w:r>
          </w:p>
        </w:tc>
      </w:tr>
      <w:tr>
        <w:tc>
          <w:tcPr>
            <w:gridSpan w:val="4"/>
          </w:tcPr>
          <w:p>
            <w:pPr>
              <w:pStyle w:val="Compact"/>
              <w:jc w:val="right"/>
            </w:pPr>
            <w:r>
              <w:t xml:space="preserve">TOTAL QUOTATION ESTIMATE AMOUNT</w:t>
            </w:r>
          </w:p>
        </w:tc>
        <w:tc>
          <w:tcPr/>
          <w:p>
            <w:pPr>
              <w:pStyle w:val="Compact"/>
              <w:jc w:val="left"/>
            </w:pPr>
            <w:r>
              <w:t xml:space="preserve">6,697,200</w:t>
            </w:r>
          </w:p>
        </w:tc>
      </w:tr>
    </w:tbl>
    <w:bookmarkEnd w:id="23"/>
    <w:bookmarkStart w:id="24" w:name="payment-schedule"/>
    <w:p>
      <w:pPr>
        <w:pStyle w:val="Heading2"/>
      </w:pPr>
      <w:r>
        <w:t xml:space="preserve">4. Payment Schedule</w:t>
      </w:r>
    </w:p>
    <w:p>
      <w:pPr>
        <w:pStyle w:val="FirstParagraph"/>
      </w:pPr>
      <w:r>
        <w:t xml:space="preserve">This Quotation Estimate stipulates the following payment milestones for the Teacher Secondary program in China Guangzhou:</w:t>
      </w:r>
    </w:p>
    <w:p>
      <w:pPr>
        <w:numPr>
          <w:ilvl w:val="0"/>
          <w:numId w:val="1002"/>
        </w:numPr>
        <w:pStyle w:val="Compact"/>
      </w:pPr>
      <w:r>
        <w:rPr>
          <w:bCs/>
          <w:b/>
        </w:rPr>
        <w:t xml:space="preserve">30% Advance Payment</w:t>
      </w:r>
      <w:r>
        <w:t xml:space="preserve"> </w:t>
      </w:r>
      <w:r>
        <w:t xml:space="preserve">(CNY 2,009,160) upon signed acceptance of this Quotation Estimate, due within 10 business days.</w:t>
      </w:r>
    </w:p>
    <w:p>
      <w:pPr>
        <w:numPr>
          <w:ilvl w:val="0"/>
          <w:numId w:val="1002"/>
        </w:numPr>
        <w:pStyle w:val="Compact"/>
      </w:pPr>
      <w:r>
        <w:rPr>
          <w:bCs/>
          <w:b/>
        </w:rPr>
        <w:t xml:space="preserve">40% Mid-Term Payment</w:t>
      </w:r>
      <w:r>
        <w:t xml:space="preserve"> </w:t>
      </w:r>
      <w:r>
        <w:t xml:space="preserve">(CNY 2,678,880) due at the completion of the first six-month evaluation period for all Teacher Secondary staff.</w:t>
      </w:r>
    </w:p>
    <w:p>
      <w:pPr>
        <w:numPr>
          <w:ilvl w:val="0"/>
          <w:numId w:val="1002"/>
        </w:numPr>
        <w:pStyle w:val="Compact"/>
      </w:pPr>
      <w:r>
        <w:rPr>
          <w:bCs/>
          <w:b/>
        </w:rPr>
        <w:t xml:space="preserve">30% Final Payment</w:t>
      </w:r>
      <w:r>
        <w:t xml:space="preserve"> </w:t>
      </w:r>
      <w:r>
        <w:t xml:space="preserve">(CNY 2,009,160) due upon successful completion of the full academic year and final performance review of the Teacher Secondary cohort.</w:t>
      </w:r>
    </w:p>
    <w:bookmarkEnd w:id="24"/>
    <w:bookmarkStart w:id="25" w:name="terms-and-conditions"/>
    <w:p>
      <w:pPr>
        <w:pStyle w:val="Heading2"/>
      </w:pPr>
      <w:r>
        <w:t xml:space="preserve">5. Terms and Conditions</w:t>
      </w:r>
    </w:p>
    <w:p>
      <w:pPr>
        <w:numPr>
          <w:ilvl w:val="0"/>
          <w:numId w:val="1003"/>
        </w:numPr>
        <w:pStyle w:val="Compact"/>
      </w:pPr>
      <w:r>
        <w:t xml:space="preserve">This Quotation Estimate is valid for 30 calendar days from the date of issue. Any acceptance beyond this period requires re-confirmation of all rates and availability for Teacher Secondary positions in China Guangzhou.</w:t>
      </w:r>
    </w:p>
    <w:p>
      <w:pPr>
        <w:numPr>
          <w:ilvl w:val="0"/>
          <w:numId w:val="1003"/>
        </w:numPr>
        <w:pStyle w:val="Compact"/>
      </w:pPr>
      <w:r>
        <w:t xml:space="preserve">All Teacher Secondary personnel must hold a valid teaching qualification recognized by the Ministry of Education of the People's Republic of China and must pass the national Mandarin proficiency test (HSK Level 4 minimum) prior to deployment in Guangzhou.</w:t>
      </w:r>
    </w:p>
    <w:p>
      <w:pPr>
        <w:numPr>
          <w:ilvl w:val="0"/>
          <w:numId w:val="1003"/>
        </w:numPr>
        <w:pStyle w:val="Compact"/>
      </w:pPr>
      <w:r>
        <w:t xml:space="preserve">Guangzhou International Education Services Co., Ltd. reserves the right to adjust the Quotation Estimate by no more than 5% in the event of significant changes to local labor regulations, housing market conditions, or currency fluctuations affecting the China Guangzhou region.</w:t>
      </w:r>
    </w:p>
    <w:p>
      <w:pPr>
        <w:numPr>
          <w:ilvl w:val="0"/>
          <w:numId w:val="1003"/>
        </w:numPr>
        <w:pStyle w:val="Compact"/>
      </w:pPr>
      <w:r>
        <w:t xml:space="preserve">Any cancellation of the Teacher Secondary program by the client after the 30-day validity period will incur a non-refundable administrative fee of 15% of the total Quotation Estimate value.</w:t>
      </w:r>
    </w:p>
    <w:p>
      <w:pPr>
        <w:numPr>
          <w:ilvl w:val="0"/>
          <w:numId w:val="1003"/>
        </w:numPr>
        <w:pStyle w:val="Compact"/>
      </w:pPr>
      <w:r>
        <w:t xml:space="preserve">All disputes arising from this Quotation Estimate shall be resolved through arbitration in Guangzhou, Guangdong Province, in accordance with the laws of the People's Republic of China.</w:t>
      </w:r>
    </w:p>
    <w:p>
      <w:pPr>
        <w:numPr>
          <w:ilvl w:val="0"/>
          <w:numId w:val="1003"/>
        </w:numPr>
        <w:pStyle w:val="Compact"/>
      </w:pPr>
      <w:r>
        <w:t xml:space="preserve">Confidentiality obligations apply to all personnel data, compensation details, and institutional information related to the Teacher Secondary program in China Guangzhou.</w:t>
      </w:r>
    </w:p>
    <w:bookmarkEnd w:id="25"/>
    <w:bookmarkStart w:id="26" w:name="acceptance-and-authorization"/>
    <w:p>
      <w:pPr>
        <w:pStyle w:val="Heading2"/>
      </w:pPr>
      <w:r>
        <w:t xml:space="preserve">6. Acceptance and Authorization</w:t>
      </w:r>
    </w:p>
    <w:p>
      <w:pPr>
        <w:pStyle w:val="FirstParagraph"/>
      </w:pPr>
      <w:r>
        <w:rPr>
          <w:bCs/>
          <w:b/>
        </w:rPr>
        <w:t xml:space="preserve">Prepared by:</w:t>
      </w:r>
    </w:p>
    <w:p>
      <w:pPr>
        <w:pStyle w:val="BodyText"/>
      </w:pPr>
      <w:r>
        <w:t xml:space="preserve">Guangzhou International Education Services Co., Ltd.</w:t>
      </w:r>
    </w:p>
    <w:p>
      <w:pPr>
        <w:pStyle w:val="BodyText"/>
      </w:pPr>
      <w:r>
        <w:t xml:space="preserve">Authorized Representative: Ms. Li Xiaomei</w:t>
      </w:r>
    </w:p>
    <w:p>
      <w:pPr>
        <w:pStyle w:val="BodyText"/>
      </w:pPr>
      <w:r>
        <w:t xml:space="preserve">Position: Director of Teacher Secondary Programs</w:t>
      </w:r>
    </w:p>
    <w:p>
      <w:pPr>
        <w:pStyle w:val="BodyText"/>
      </w:pPr>
      <w:r>
        <w:t xml:space="preserve">Signature &amp; Date</w:t>
      </w:r>
    </w:p>
    <w:p>
      <w:pPr>
        <w:pStyle w:val="BodyText"/>
      </w:pPr>
      <w:r>
        <w:rPr>
          <w:bCs/>
          <w:b/>
        </w:rPr>
        <w:t xml:space="preserve">Accepted by (Client):</w:t>
      </w:r>
    </w:p>
    <w:p>
      <w:pPr>
        <w:pStyle w:val="BodyText"/>
      </w:pPr>
      <w:r>
        <w:t xml:space="preserve">Guangzhou Municipal Secondary Education Bureau</w:t>
      </w:r>
    </w:p>
    <w:p>
      <w:pPr>
        <w:pStyle w:val="BodyText"/>
      </w:pPr>
      <w:r>
        <w:t xml:space="preserve">Authorized Representative: Director Wang</w:t>
      </w:r>
    </w:p>
    <w:p>
      <w:pPr>
        <w:pStyle w:val="BodyText"/>
      </w:pPr>
      <w:r>
        <w:t xml:space="preserve">Position: Head of International Staffing Division</w:t>
      </w:r>
    </w:p>
    <w:p>
      <w:pPr>
        <w:pStyle w:val="BodyText"/>
      </w:pPr>
      <w:r>
        <w:t xml:space="preserve">Signature &amp; Date</w:t>
      </w:r>
    </w:p>
    <w:p>
      <w:pPr>
        <w:pStyle w:val="BodyText"/>
      </w:pPr>
      <w:r>
        <w:rPr>
          <w:bCs/>
          <w:b/>
        </w:rPr>
        <w:t xml:space="preserve">Important Notice:</w:t>
      </w:r>
      <w:r>
        <w:t xml:space="preserve"> </w:t>
      </w:r>
      <w:r>
        <w:t xml:space="preserve">This Quotation Estimate for Teacher Secondary services in China Guangzhou is a non-binding financial projection until formally countersigned by both parties. All figures are denominated in Chinese Yuan (CNY). The Teacher Secondary program is subject to annual review by the Guangzhou Municipal Education Authority. For inquiries regarding this Quotation Estimate, please contact our China Guangzhou office at +86-20-8888-6721 or email: teacher.secondary@gziedu.cn.</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Teacher Secondary - China Guangzhou</dc:title>
  <dc:creator/>
  <dc:language>en</dc:language>
  <cp:keywords/>
  <dcterms:created xsi:type="dcterms:W3CDTF">2026-10-10T01:20:50Z</dcterms:created>
  <dcterms:modified xsi:type="dcterms:W3CDTF">2026-10-10T01:20:50Z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