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Germany</w:t>
      </w:r>
      <w:r>
        <w:t xml:space="preserve"> </w:t>
      </w:r>
      <w:r>
        <w:t xml:space="preserve">Frankfurt</w:t>
      </w:r>
    </w:p>
    <w:bookmarkStart w:id="20" w:name="academic-personnel-solutions-gmbh"/>
    <w:p>
      <w:pPr>
        <w:pStyle w:val="Heading1"/>
      </w:pPr>
      <w:r>
        <w:t xml:space="preserve">Academic Personnel Solutions GmbH</w:t>
      </w:r>
    </w:p>
    <w:p>
      <w:pPr>
        <w:pStyle w:val="FirstParagraph"/>
      </w:pPr>
      <w:r>
        <w:t xml:space="preserve">Education Staffing &amp; Recruitment Services</w:t>
      </w:r>
    </w:p>
    <w:p>
      <w:pPr>
        <w:pStyle w:val="BodyText"/>
      </w:pPr>
      <w:r>
        <w:t xml:space="preserve">Goethestraße 42, 60311 Frankfurt am Main, Germany</w:t>
      </w:r>
    </w:p>
    <w:p>
      <w:pPr>
        <w:pStyle w:val="BodyText"/>
      </w:pPr>
      <w:r>
        <w:t xml:space="preserve">Tel: +49 (0)69 1234 5678 | Email: info@academicpersonnel.de</w:t>
      </w:r>
    </w:p>
    <w:p>
      <w:pPr>
        <w:pStyle w:val="BodyText"/>
      </w:pPr>
      <w:r>
        <w:t xml:space="preserve">USt-IdNr: DE 312 456 789</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No.</w:t>
            </w:r>
          </w:p>
        </w:tc>
        <w:tc>
          <w:tcPr/>
          <w:p>
            <w:pPr>
              <w:pStyle w:val="Compact"/>
              <w:jc w:val="left"/>
            </w:pPr>
            <w:r>
              <w:t xml:space="preserve">QTE-2025-04871</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Client</w:t>
            </w:r>
          </w:p>
        </w:tc>
        <w:tc>
          <w:tcPr/>
          <w:p>
            <w:pPr>
              <w:pStyle w:val="Compact"/>
              <w:jc w:val="left"/>
            </w:pPr>
            <w:r>
              <w:t xml:space="preserve">Städtisches Gymnasium am Main, Schillerplatz 8, 60313 Frankfurt am Main, Germany</w:t>
            </w:r>
          </w:p>
        </w:tc>
      </w:tr>
      <w:tr>
        <w:tc>
          <w:tcPr/>
          <w:p>
            <w:pPr>
              <w:pStyle w:val="Compact"/>
              <w:jc w:val="left"/>
            </w:pPr>
            <w:r>
              <w:t xml:space="preserve">Attention</w:t>
            </w:r>
          </w:p>
        </w:tc>
        <w:tc>
          <w:tcPr/>
          <w:p>
            <w:pPr>
              <w:pStyle w:val="Compact"/>
              <w:jc w:val="left"/>
            </w:pPr>
            <w:r>
              <w:t xml:space="preserve">Dr. Martina Weber, Head of Human Resources</w:t>
            </w:r>
          </w:p>
        </w:tc>
      </w:tr>
      <w:tr>
        <w:tc>
          <w:tcPr/>
          <w:p>
            <w:pPr>
              <w:pStyle w:val="Compact"/>
              <w:jc w:val="left"/>
            </w:pPr>
            <w:r>
              <w:t xml:space="preserve">Subject</w:t>
            </w:r>
          </w:p>
        </w:tc>
        <w:tc>
          <w:tcPr/>
          <w:p>
            <w:pPr>
              <w:pStyle w:val="Compact"/>
              <w:jc w:val="left"/>
            </w:pPr>
            <w:r>
              <w:t xml:space="preserve">Engagement of a</w:t>
            </w:r>
            <w:r>
              <w:t xml:space="preserve"> </w:t>
            </w:r>
            <w:r>
              <w:t xml:space="preserve">Teacher Secondary</w:t>
            </w:r>
            <w:r>
              <w:t xml:space="preserve"> </w:t>
            </w:r>
            <w:r>
              <w:t xml:space="preserve">– Mathematics &amp; Physics Department – Academic Year 2025/2026</w:t>
            </w:r>
          </w:p>
        </w:tc>
      </w:tr>
      <w:tr>
        <w:tc>
          <w:tcPr/>
          <w:p>
            <w:pPr>
              <w:pStyle w:val="Compact"/>
              <w:jc w:val="left"/>
            </w:pPr>
            <w:r>
              <w:t xml:space="preserve">Location of Service</w:t>
            </w:r>
          </w:p>
        </w:tc>
        <w:tc>
          <w:tcPr/>
          <w:p>
            <w:pPr>
              <w:pStyle w:val="Compact"/>
              <w:jc w:val="left"/>
            </w:pPr>
            <w:r>
              <w:t xml:space="preserve">Germany Frankfurt</w:t>
            </w:r>
            <w:r>
              <w:t xml:space="preserve"> </w:t>
            </w:r>
            <w:r>
              <w:t xml:space="preserve">(Frankfurt am Main, Hesse)</w:t>
            </w:r>
          </w:p>
        </w:tc>
      </w:tr>
    </w:tbl>
    <w:bookmarkStart w:id="21" w:name="scope-of-services"/>
    <w:p>
      <w:pPr>
        <w:pStyle w:val="Heading2"/>
      </w:pPr>
      <w:r>
        <w:t xml:space="preserve">1. Scope of Services</w:t>
      </w:r>
    </w:p>
    <w:p>
      <w:pPr>
        <w:pStyle w:val="FirstParagraph"/>
      </w:pPr>
      <w:r>
        <w:t xml:space="preserve">This</w:t>
      </w:r>
      <w:r>
        <w:t xml:space="preserve"> </w:t>
      </w:r>
      <w:r>
        <w:t xml:space="preserve">Quotation Estimate</w:t>
      </w:r>
      <w:r>
        <w:t xml:space="preserve"> </w:t>
      </w:r>
      <w:r>
        <w:t xml:space="preserve">is issued by Academic Personnel Solutions GmbH in response to the formal request from Städtisches Gymnasium am Main for the recruitment, placement, and ongoing administrative support of a qualified</w:t>
      </w:r>
      <w:r>
        <w:t xml:space="preserve"> </w:t>
      </w:r>
      <w:r>
        <w:t xml:space="preserve">Teacher Secondary</w:t>
      </w:r>
      <w:r>
        <w:t xml:space="preserve"> </w:t>
      </w:r>
      <w:r>
        <w:t xml:space="preserve">for the Mathematics and Physics department. The engagement is intended to commence on 1 September 2025 and extend through the conclusion of the academic year 2025/2026, with an option for renewal. All services described herein shall be delivered within the jurisdiction of</w:t>
      </w:r>
      <w:r>
        <w:t xml:space="preserve"> </w:t>
      </w:r>
      <w:r>
        <w:t xml:space="preserve">Germany Frankfurt</w:t>
      </w:r>
      <w:r>
        <w:t xml:space="preserve">, in full compliance with the Hessian State Education Act (Hessisches Schulgesetz – HSchG) and applicable federal employment regulations.</w:t>
      </w:r>
    </w:p>
    <w:p>
      <w:pPr>
        <w:pStyle w:val="BodyText"/>
      </w:pPr>
      <w:r>
        <w:t xml:space="preserve">The</w:t>
      </w:r>
      <w:r>
        <w:t xml:space="preserve"> </w:t>
      </w:r>
      <w:r>
        <w:t xml:space="preserve">Teacher Secondary</w:t>
      </w:r>
      <w:r>
        <w:t xml:space="preserve"> </w:t>
      </w:r>
      <w:r>
        <w:t xml:space="preserve">candidate shall hold a minimum of a Master's degree (Master of Education) in Mathematics or Physics, possess a valid teaching licence (Lehrbefähigung) for secondary schools (Sekundarstufe I und II) in the state of Hesse, and demonstrate a minimum of three years of documented teaching experience in a German secondary school environment. Fluency in German (C1 level or above) is mandatory, and proficiency in English (B2 level or above) is strongly preferred given the international student population at the institution.</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Recruitment and screening of</w:t>
            </w:r>
            <w:r>
              <w:t xml:space="preserve"> </w:t>
            </w:r>
            <w:r>
              <w:t xml:space="preserve">Teacher Secondary</w:t>
            </w:r>
            <w:r>
              <w:t xml:space="preserve"> </w:t>
            </w:r>
            <w:r>
              <w:t xml:space="preserve">candidates (advertising, CV review, initial interviews)</w:t>
            </w:r>
          </w:p>
        </w:tc>
        <w:tc>
          <w:tcPr/>
          <w:p>
            <w:pPr>
              <w:pStyle w:val="Compact"/>
              <w:jc w:val="left"/>
            </w:pPr>
            <w:r>
              <w:t xml:space="preserve">1 package</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2</w:t>
            </w:r>
          </w:p>
        </w:tc>
        <w:tc>
          <w:tcPr/>
          <w:p>
            <w:pPr>
              <w:pStyle w:val="Compact"/>
              <w:jc w:val="left"/>
            </w:pPr>
            <w:r>
              <w:t xml:space="preserve">On-site assessment and trial teaching session at the school premises in</w:t>
            </w:r>
            <w:r>
              <w:t xml:space="preserve"> </w:t>
            </w:r>
            <w:r>
              <w:t xml:space="preserve">Germany Frankfurt</w:t>
            </w:r>
          </w:p>
        </w:tc>
        <w:tc>
          <w:tcPr/>
          <w:p>
            <w:pPr>
              <w:pStyle w:val="Compact"/>
              <w:jc w:val="left"/>
            </w:pPr>
            <w:r>
              <w:t xml:space="preserve">1 session</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3</w:t>
            </w:r>
          </w:p>
        </w:tc>
        <w:tc>
          <w:tcPr/>
          <w:p>
            <w:pPr>
              <w:pStyle w:val="Compact"/>
              <w:jc w:val="left"/>
            </w:pPr>
            <w:r>
              <w:t xml:space="preserve">Verification of teaching licence, academic credentials, and professional references</w:t>
            </w:r>
          </w:p>
        </w:tc>
        <w:tc>
          <w:tcPr/>
          <w:p>
            <w:pPr>
              <w:pStyle w:val="Compact"/>
              <w:jc w:val="left"/>
            </w:pPr>
            <w:r>
              <w:t xml:space="preserve">1 package</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4</w:t>
            </w:r>
          </w:p>
        </w:tc>
        <w:tc>
          <w:tcPr/>
          <w:p>
            <w:pPr>
              <w:pStyle w:val="Compact"/>
              <w:jc w:val="left"/>
            </w:pPr>
            <w:r>
              <w:t xml:space="preserve">Contract drafting and legal review for the</w:t>
            </w:r>
            <w:r>
              <w:t xml:space="preserve"> </w:t>
            </w:r>
            <w:r>
              <w:t xml:space="preserve">Teacher Secondary</w:t>
            </w:r>
            <w:r>
              <w:t xml:space="preserve"> </w:t>
            </w:r>
            <w:r>
              <w:t xml:space="preserve">employment agreement (Hessian civil service / tariff-based)</w:t>
            </w:r>
          </w:p>
        </w:tc>
        <w:tc>
          <w:tcPr/>
          <w:p>
            <w:pPr>
              <w:pStyle w:val="Compact"/>
              <w:jc w:val="left"/>
            </w:pPr>
            <w:r>
              <w:t xml:space="preserve">1 document</w:t>
            </w:r>
          </w:p>
        </w:tc>
        <w:tc>
          <w:tcPr/>
          <w:p>
            <w:pPr>
              <w:pStyle w:val="Compact"/>
              <w:jc w:val="left"/>
            </w:pPr>
            <w:r>
              <w:t xml:space="preserve">980.00</w:t>
            </w:r>
          </w:p>
        </w:tc>
        <w:tc>
          <w:tcPr/>
          <w:p>
            <w:pPr>
              <w:pStyle w:val="Compact"/>
              <w:jc w:val="left"/>
            </w:pPr>
            <w:r>
              <w:t xml:space="preserve">980.00</w:t>
            </w:r>
          </w:p>
        </w:tc>
      </w:tr>
      <w:tr>
        <w:tc>
          <w:tcPr/>
          <w:p>
            <w:pPr>
              <w:pStyle w:val="Compact"/>
              <w:jc w:val="left"/>
            </w:pPr>
            <w:r>
              <w:t xml:space="preserve">5</w:t>
            </w:r>
          </w:p>
        </w:tc>
        <w:tc>
          <w:tcPr/>
          <w:p>
            <w:pPr>
              <w:pStyle w:val="Compact"/>
              <w:jc w:val="left"/>
            </w:pPr>
            <w:r>
              <w:t xml:space="preserve">Onboarding support and orientation programme for the</w:t>
            </w:r>
            <w:r>
              <w:t xml:space="preserve"> </w:t>
            </w:r>
            <w:r>
              <w:t xml:space="preserve">Teacher Secondary</w:t>
            </w:r>
            <w:r>
              <w:t xml:space="preserve"> </w:t>
            </w:r>
            <w:r>
              <w:t xml:space="preserve">in Frankfurt am Main (local integration, school systems, administrative registration)</w:t>
            </w:r>
          </w:p>
        </w:tc>
        <w:tc>
          <w:tcPr/>
          <w:p>
            <w:pPr>
              <w:pStyle w:val="Compact"/>
              <w:jc w:val="left"/>
            </w:pPr>
            <w:r>
              <w:t xml:space="preserve">1 package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6</w:t>
            </w:r>
          </w:p>
        </w:tc>
        <w:tc>
          <w:tcPr/>
          <w:p>
            <w:pPr>
              <w:pStyle w:val="Compact"/>
              <w:jc w:val="left"/>
            </w:pPr>
            <w:r>
              <w:t xml:space="preserve">Ongoing HR advisory and compliance monitoring for the duration of the academic year (10 months)</w:t>
            </w:r>
          </w:p>
        </w:tc>
        <w:tc>
          <w:tcPr/>
          <w:p>
            <w:pPr>
              <w:pStyle w:val="Compact"/>
              <w:jc w:val="left"/>
            </w:pPr>
            <w:r>
              <w:t xml:space="preserve">10 months</w:t>
            </w:r>
          </w:p>
        </w:tc>
        <w:tc>
          <w:tcPr/>
          <w:p>
            <w:pPr>
              <w:pStyle w:val="Compact"/>
              <w:jc w:val="left"/>
            </w:pPr>
            <w:r>
              <w:t xml:space="preserve">350.00</w:t>
            </w:r>
          </w:p>
        </w:tc>
        <w:tc>
          <w:tcPr/>
          <w:p>
            <w:pPr>
              <w:pStyle w:val="Compact"/>
              <w:jc w:val="left"/>
            </w:pPr>
            <w:r>
              <w:t xml:space="preserve">3,500.00</w:t>
            </w:r>
          </w:p>
        </w:tc>
      </w:tr>
      <w:tr>
        <w:tc>
          <w:tcPr/>
          <w:p>
            <w:pPr>
              <w:pStyle w:val="Compact"/>
              <w:jc w:val="left"/>
            </w:pPr>
            <w:r>
              <w:t xml:space="preserve">7</w:t>
            </w:r>
          </w:p>
        </w:tc>
        <w:tc>
          <w:tcPr/>
          <w:p>
            <w:pPr>
              <w:pStyle w:val="Compact"/>
              <w:jc w:val="left"/>
            </w:pPr>
            <w:r>
              <w:t xml:space="preserve">Professional development coordination (workshops, Hessian state teaching seminars in Frankfurt)</w:t>
            </w:r>
          </w:p>
        </w:tc>
        <w:tc>
          <w:tcPr/>
          <w:p>
            <w:pPr>
              <w:pStyle w:val="Compact"/>
              <w:jc w:val="left"/>
            </w:pPr>
            <w:r>
              <w:t xml:space="preserve">2 sessions</w:t>
            </w:r>
          </w:p>
        </w:tc>
        <w:tc>
          <w:tcPr/>
          <w:p>
            <w:pPr>
              <w:pStyle w:val="Compact"/>
              <w:jc w:val="left"/>
            </w:pPr>
            <w:r>
              <w:t xml:space="preserve">480.00</w:t>
            </w:r>
          </w:p>
        </w:tc>
        <w:tc>
          <w:tcPr/>
          <w:p>
            <w:pPr>
              <w:pStyle w:val="Compact"/>
              <w:jc w:val="left"/>
            </w:pPr>
            <w:r>
              <w:t xml:space="preserve">960.00</w:t>
            </w:r>
          </w:p>
        </w:tc>
      </w:tr>
      <w:tr>
        <w:tc>
          <w:tcPr/>
          <w:p>
            <w:pPr>
              <w:pStyle w:val="Compact"/>
              <w:jc w:val="left"/>
            </w:pPr>
            <w:r>
              <w:t xml:space="preserve">8</w:t>
            </w:r>
          </w:p>
        </w:tc>
        <w:tc>
          <w:tcPr/>
          <w:p>
            <w:pPr>
              <w:pStyle w:val="Compact"/>
              <w:jc w:val="left"/>
            </w:pPr>
            <w:r>
              <w:t xml:space="preserve">End-of-year performance evaluation report and renewal recommendation</w:t>
            </w:r>
          </w:p>
        </w:tc>
        <w:tc>
          <w:tcPr/>
          <w:p>
            <w:pPr>
              <w:pStyle w:val="Compact"/>
              <w:jc w:val="left"/>
            </w:pPr>
            <w:r>
              <w:t xml:space="preserve">1 report</w:t>
            </w:r>
          </w:p>
        </w:tc>
        <w:tc>
          <w:tcPr/>
          <w:p>
            <w:pPr>
              <w:pStyle w:val="Compact"/>
              <w:jc w:val="left"/>
            </w:pPr>
            <w:r>
              <w:t xml:space="preserve">550.00</w:t>
            </w:r>
          </w:p>
        </w:tc>
        <w:tc>
          <w:tcPr/>
          <w:p>
            <w:pPr>
              <w:pStyle w:val="Compact"/>
              <w:jc w:val="left"/>
            </w:pPr>
            <w:r>
              <w:t xml:space="preserve">550.00</w:t>
            </w:r>
          </w:p>
        </w:tc>
      </w:tr>
      <w:tr>
        <w:tc>
          <w:tcPr>
            <w:gridSpan w:val="4"/>
          </w:tcPr>
          <w:p>
            <w:pPr>
              <w:pStyle w:val="Compact"/>
              <w:jc w:val="right"/>
            </w:pPr>
            <w:r>
              <w:t xml:space="preserve">Subtotal (excl. VAT)</w:t>
            </w:r>
          </w:p>
        </w:tc>
        <w:tc>
          <w:tcPr/>
          <w:p>
            <w:pPr>
              <w:pStyle w:val="Compact"/>
              <w:jc w:val="left"/>
            </w:pPr>
            <w:r>
              <w:t xml:space="preserve">11,060.00</w:t>
            </w:r>
          </w:p>
        </w:tc>
      </w:tr>
      <w:tr>
        <w:tc>
          <w:tcPr>
            <w:gridSpan w:val="4"/>
          </w:tcPr>
          <w:p>
            <w:pPr>
              <w:pStyle w:val="Compact"/>
              <w:jc w:val="right"/>
            </w:pPr>
            <w:r>
              <w:t xml:space="preserve">VAT (19% – Umsatzsteuer)</w:t>
            </w:r>
          </w:p>
        </w:tc>
        <w:tc>
          <w:tcPr/>
          <w:p>
            <w:pPr>
              <w:pStyle w:val="Compact"/>
              <w:jc w:val="left"/>
            </w:pPr>
            <w:r>
              <w:t xml:space="preserve">2,101.40</w:t>
            </w:r>
          </w:p>
        </w:tc>
      </w:tr>
      <w:tr>
        <w:tc>
          <w:tcPr>
            <w:gridSpan w:val="4"/>
          </w:tcPr>
          <w:p>
            <w:pPr>
              <w:pStyle w:val="Compact"/>
              <w:jc w:val="right"/>
            </w:pPr>
            <w:r>
              <w:t xml:space="preserve">Total Amount Due (incl. VAT)</w:t>
            </w:r>
          </w:p>
        </w:tc>
        <w:tc>
          <w:tcPr/>
          <w:p>
            <w:pPr>
              <w:pStyle w:val="Compact"/>
              <w:jc w:val="left"/>
            </w:pPr>
            <w:r>
              <w:t xml:space="preserve">13,161.40</w:t>
            </w:r>
          </w:p>
        </w:tc>
      </w:tr>
    </w:tbl>
    <w:bookmarkEnd w:id="22"/>
    <w:bookmarkStart w:id="23" w:name="payment-terms"/>
    <w:p>
      <w:pPr>
        <w:pStyle w:val="Heading2"/>
      </w:pPr>
      <w:r>
        <w:t xml:space="preserve">3. Payment Terms</w:t>
      </w:r>
    </w:p>
    <w:p>
      <w:pPr>
        <w:pStyle w:val="FirstParagraph"/>
      </w:pPr>
      <w:r>
        <w:t xml:space="preserve">Payment of the total amount specified in this</w:t>
      </w:r>
      <w:r>
        <w:t xml:space="preserve"> </w:t>
      </w:r>
      <w:r>
        <w:t xml:space="preserve">Quotation Estimate</w:t>
      </w:r>
      <w:r>
        <w:t xml:space="preserve"> </w:t>
      </w:r>
      <w:r>
        <w:t xml:space="preserve">shall be made in three instalments: 40% upon acceptance of this quotation and signing of the service agreement, 40% upon successful placement and commencement of duties by the</w:t>
      </w:r>
      <w:r>
        <w:t xml:space="preserve"> </w:t>
      </w:r>
      <w:r>
        <w:t xml:space="preserve">Teacher Secondary</w:t>
      </w:r>
      <w:r>
        <w:t xml:space="preserve"> </w:t>
      </w:r>
      <w:r>
        <w:t xml:space="preserve">in</w:t>
      </w:r>
      <w:r>
        <w:t xml:space="preserve"> </w:t>
      </w:r>
      <w:r>
        <w:t xml:space="preserve">Germany Frankfurt</w:t>
      </w:r>
      <w:r>
        <w:t xml:space="preserve">, and the remaining 20% upon delivery of the end-of-year performance evaluation report. All payments shall be transferred via SEPA bank transfer to the account of Academic Personnel Solutions GmbH, IBAN: DE89 3704 0044 0532 0130 00, BIC: COBADEFFXXX. Invoices are payable within 14 calendar days of the date of issue.</w:t>
      </w:r>
    </w:p>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30 calendar days from the date of issue. Any acceptance beyond this period requires written reconfirmation of pricing.</w:t>
      </w:r>
    </w:p>
    <w:p>
      <w:pPr>
        <w:numPr>
          <w:ilvl w:val="0"/>
          <w:numId w:val="1001"/>
        </w:numPr>
        <w:pStyle w:val="Compact"/>
      </w:pPr>
      <w:r>
        <w:t xml:space="preserve">All services related to the</w:t>
      </w:r>
      <w:r>
        <w:t xml:space="preserve"> </w:t>
      </w:r>
      <w:r>
        <w:t xml:space="preserve">Teacher Secondary</w:t>
      </w:r>
      <w:r>
        <w:t xml:space="preserve"> </w:t>
      </w:r>
      <w:r>
        <w:t xml:space="preserve">engagement shall be performed in accordance with the laws of the Federal Republic of Germany, specifically the regulations of the state of Hesse (Hessen) and the municipal bylaws of Frankfurt am Main.</w:t>
      </w:r>
    </w:p>
    <w:p>
      <w:pPr>
        <w:numPr>
          <w:ilvl w:val="0"/>
          <w:numId w:val="1001"/>
        </w:numPr>
        <w:pStyle w:val="Compact"/>
      </w:pPr>
      <w:r>
        <w:t xml:space="preserve">The</w:t>
      </w:r>
      <w:r>
        <w:t xml:space="preserve"> </w:t>
      </w:r>
      <w:r>
        <w:t xml:space="preserve">Teacher Secondary</w:t>
      </w:r>
      <w:r>
        <w:t xml:space="preserve"> </w:t>
      </w:r>
      <w:r>
        <w:t xml:space="preserve">shall be subject to the standard working hours and holiday entitlements as defined by the Hessian Teachers' Statute (Hessisches Lehrkräftegesetz – HLG) and the applicable collective agreement (TV-L).</w:t>
      </w:r>
    </w:p>
    <w:p>
      <w:pPr>
        <w:numPr>
          <w:ilvl w:val="0"/>
          <w:numId w:val="1001"/>
        </w:numPr>
        <w:pStyle w:val="Compact"/>
      </w:pPr>
      <w:r>
        <w:t xml:space="preserve">Academic Personnel Solutions GmbH shall maintain full professional liability insurance covering all activities conducted in</w:t>
      </w:r>
      <w:r>
        <w:t xml:space="preserve"> </w:t>
      </w:r>
      <w:r>
        <w:t xml:space="preserve">Germany Frankfurt</w:t>
      </w:r>
      <w:r>
        <w:t xml:space="preserve"> </w:t>
      </w:r>
      <w:r>
        <w:t xml:space="preserve">and throughout the state of Hesse.</w:t>
      </w:r>
    </w:p>
    <w:p>
      <w:pPr>
        <w:numPr>
          <w:ilvl w:val="0"/>
          <w:numId w:val="1001"/>
        </w:numPr>
        <w:pStyle w:val="Compact"/>
      </w:pPr>
      <w:r>
        <w:t xml:space="preserve">Confidentiality: All personal data of the</w:t>
      </w:r>
      <w:r>
        <w:t xml:space="preserve"> </w:t>
      </w:r>
      <w:r>
        <w:t xml:space="preserve">Teacher Secondary</w:t>
      </w:r>
      <w:r>
        <w:t xml:space="preserve"> </w:t>
      </w:r>
      <w:r>
        <w:t xml:space="preserve">candidate and the client institution shall be processed in strict compliance with the EU General Data Protection Regulation (GDPR) and the Hessian Data Protection Act (HDSG).</w:t>
      </w:r>
    </w:p>
    <w:p>
      <w:pPr>
        <w:numPr>
          <w:ilvl w:val="0"/>
          <w:numId w:val="1001"/>
        </w:numPr>
        <w:pStyle w:val="Compact"/>
      </w:pPr>
      <w:r>
        <w:t xml:space="preserve">Any disputes arising from this</w:t>
      </w:r>
      <w:r>
        <w:t xml:space="preserve"> </w:t>
      </w:r>
      <w:r>
        <w:t xml:space="preserve">Quotation Estimate</w:t>
      </w:r>
      <w:r>
        <w:t xml:space="preserve"> </w:t>
      </w:r>
      <w:r>
        <w:t xml:space="preserve">or the resulting service agreement shall be subject to the exclusive jurisdiction of the competent courts in Frankfurt am Main, Germany.</w:t>
      </w:r>
    </w:p>
    <w:p>
      <w:pPr>
        <w:numPr>
          <w:ilvl w:val="0"/>
          <w:numId w:val="1001"/>
        </w:numPr>
        <w:pStyle w:val="Compact"/>
      </w:pPr>
      <w:r>
        <w:t xml:space="preserve">This quotation does not constitute a binding employment contract between the client and the</w:t>
      </w:r>
      <w:r>
        <w:t xml:space="preserve"> </w:t>
      </w:r>
      <w:r>
        <w:t xml:space="preserve">Teacher Secondary</w:t>
      </w:r>
      <w:r>
        <w:t xml:space="preserve">. The employment relationship shall be governed solely by the separate employment agreement executed between the parties.</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Academic Personnel Solutions GmbH to proceed with the recruitment and placement of the</w:t>
      </w:r>
      <w:r>
        <w:t xml:space="preserve"> </w:t>
      </w:r>
      <w:r>
        <w:t xml:space="preserve">Teacher Secondary</w:t>
      </w:r>
      <w:r>
        <w:t xml:space="preserve"> </w:t>
      </w:r>
      <w:r>
        <w:t xml:space="preserve">as described herein. The services shall be rendered at the designated school location in</w:t>
      </w:r>
      <w:r>
        <w:t xml:space="preserve"> </w:t>
      </w:r>
      <w:r>
        <w:t xml:space="preserve">Germany Frankfurt</w:t>
      </w:r>
      <w:r>
        <w:t xml:space="preserve"> </w:t>
      </w:r>
      <w:r>
        <w:t xml:space="preserve">(Frankfurt am Main, Hesse).</w:t>
      </w:r>
    </w:p>
    <w:p>
      <w:pPr>
        <w:pStyle w:val="BodyText"/>
      </w:pPr>
      <w:r>
        <w:rPr>
          <w:bCs/>
          <w:b/>
        </w:rPr>
        <w:t xml:space="preserve">For Academic Personnel Solutions GmbH</w:t>
      </w:r>
    </w:p>
    <w:p>
      <w:pPr>
        <w:pStyle w:val="BodyText"/>
      </w:pPr>
      <w:r>
        <w:t xml:space="preserve">Dr. Klaus Richter</w:t>
      </w:r>
      <w:r>
        <w:br/>
      </w:r>
      <w:r>
        <w:t xml:space="preserve">Managing Director</w:t>
      </w:r>
      <w:r>
        <w:br/>
      </w:r>
      <w:r>
        <w:t xml:space="preserve">Date &amp; Signature</w:t>
      </w:r>
    </w:p>
    <w:p>
      <w:pPr>
        <w:pStyle w:val="BodyText"/>
      </w:pPr>
      <w:r>
        <w:rPr>
          <w:bCs/>
          <w:b/>
        </w:rPr>
        <w:t xml:space="preserve">For Städtisches Gymnasium am Main</w:t>
      </w:r>
    </w:p>
    <w:p>
      <w:pPr>
        <w:pStyle w:val="BodyText"/>
      </w:pPr>
      <w:r>
        <w:t xml:space="preserve">Dr. Martina Weber</w:t>
      </w:r>
      <w:r>
        <w:br/>
      </w:r>
      <w:r>
        <w:t xml:space="preserve">Head of Human Resources</w:t>
      </w:r>
      <w:r>
        <w:br/>
      </w:r>
      <w:r>
        <w:t xml:space="preserve">Date &amp; Signature</w:t>
      </w:r>
    </w:p>
    <w:p>
      <w:pPr>
        <w:pStyle w:val="BodyText"/>
      </w:pPr>
      <w:r>
        <w:t xml:space="preserve">Academic Personnel Solutions GmbH | Goethestraße 42, 60311 Frankfurt am Main, Germany</w:t>
      </w:r>
    </w:p>
    <w:p>
      <w:pPr>
        <w:pStyle w:val="BodyText"/>
      </w:pPr>
      <w:r>
        <w:t xml:space="preserve">Quotation Estimate No. QTE-2025-04871 | Page 1 of 1</w:t>
      </w:r>
    </w:p>
    <w:p>
      <w:pPr>
        <w:pStyle w:val="BodyText"/>
      </w:pPr>
      <w:r>
        <w:t xml:space="preserve">This document was generated electronically and is valid without a physical signature in accordance with § 126a BGB.</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Teacher Secondary - Germany Frankfurt</dc:title>
  <dc:creator/>
  <dc:language>en</dc:language>
  <cp:keywords/>
  <dcterms:created xsi:type="dcterms:W3CDTF">2026-10-10T00:35:02Z</dcterms:created>
  <dcterms:modified xsi:type="dcterms:W3CDTF">2026-10-10T00:35:02Z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