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Engagement of Teacher Secondary – Osaka, Japan</w:t>
      </w:r>
    </w:p>
    <w:p>
      <w:pPr>
        <w:pStyle w:val="BodyText"/>
      </w:pPr>
      <w:r>
        <w:t xml:space="preserve">Document No. QTE-OSK-2025-0417</w:t>
      </w:r>
    </w:p>
    <w:bookmarkEnd w:id="20"/>
    <w:p>
      <w:pPr>
        <w:pStyle w:val="BodyText"/>
      </w:pPr>
      <w:r>
        <w:rPr>
          <w:bCs/>
          <w:b/>
        </w:rPr>
        <w:t xml:space="preserve">Prepared By:</w:t>
      </w:r>
      <w:r>
        <w:br/>
      </w:r>
      <w:r>
        <w:t xml:space="preserve">Osaka International Secondary Academy</w:t>
      </w:r>
      <w:r>
        <w:br/>
      </w:r>
      <w:r>
        <w:t xml:space="preserve">2-14-8 Tennoji, Chuo-ku</w:t>
      </w:r>
      <w:r>
        <w:br/>
      </w:r>
      <w:r>
        <w:t xml:space="preserve">Osaka 542-0071, Japan</w:t>
      </w:r>
    </w:p>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September 2025</w:t>
      </w:r>
      <w:r>
        <w:br/>
      </w:r>
      <w:r>
        <w:rPr>
          <w:bCs/>
          <w:b/>
        </w:rPr>
        <w:t xml:space="preserve">Reference:</w:t>
      </w:r>
      <w:r>
        <w:t xml:space="preserve"> </w:t>
      </w:r>
      <w:r>
        <w:t xml:space="preserve">TSEC-OSK-2025-0417</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Osaka International Secondary Academy (hereinafter referred to as "the Academy") in relation to the recruitment, engagement, and ongoing employment of a qualified</w:t>
      </w:r>
      <w:r>
        <w:t xml:space="preserve"> </w:t>
      </w:r>
      <w:r>
        <w:rPr>
          <w:bCs/>
          <w:b/>
        </w:rPr>
        <w:t xml:space="preserve">Teacher Secondary</w:t>
      </w:r>
      <w:r>
        <w:t xml:space="preserve"> </w:t>
      </w:r>
      <w:r>
        <w:t xml:space="preserve">professional to deliver instruction at the secondary education level within the Osaka metropolitan area, Japan. This document outlines all estimated costs, compensation structures, benefits, and associated expenses for the academic year 2025–2026. The Quotation Estimate is prepared in accordance with the Ministry of Education, Culture, Sports, Science and Technology (MEXT) guidelines applicable to secondary education institutions in Japan Osaka, and complies with all local labor regulations governing the employment of secondary school teachers in the Kansai region.</w:t>
      </w:r>
    </w:p>
    <w:p>
      <w:pPr>
        <w:pStyle w:val="BodyText"/>
      </w:pPr>
      <w:r>
        <w:t xml:space="preserve">The Teacher Secondary position described herein encompasses the full-time instruction of students aged 12 through 18 across core subjects including Mathematics, Science, English Language, Social Studies, and Japanese Language. The successful candidate will be expected to reside in or commute to the Osaka city area and will be subject to the standard Japanese work-week framework as defined by the Labour Standards Act.</w:t>
      </w:r>
    </w:p>
    <w:bookmarkEnd w:id="21"/>
    <w:bookmarkStart w:id="22" w:name="position-details-teacher-secondary"/>
    <w:p>
      <w:pPr>
        <w:pStyle w:val="Heading2"/>
      </w:pPr>
      <w:r>
        <w:t xml:space="preserve">2. Position Details – Teacher Secondary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Position Title</w:t>
            </w:r>
          </w:p>
        </w:tc>
        <w:tc>
          <w:tcPr/>
          <w:p>
            <w:pPr>
              <w:pStyle w:val="Compact"/>
              <w:jc w:val="left"/>
            </w:pPr>
            <w:r>
              <w:t xml:space="preserve">Teacher Secondary (Full-Time, Permanent)</w:t>
            </w:r>
          </w:p>
        </w:tc>
      </w:tr>
      <w:tr>
        <w:tc>
          <w:tcPr/>
          <w:p>
            <w:pPr>
              <w:pStyle w:val="Compact"/>
              <w:jc w:val="left"/>
            </w:pPr>
            <w:r>
              <w:t xml:space="preserve">Department</w:t>
            </w:r>
          </w:p>
        </w:tc>
        <w:tc>
          <w:tcPr/>
          <w:p>
            <w:pPr>
              <w:pStyle w:val="Compact"/>
              <w:jc w:val="left"/>
            </w:pPr>
            <w:r>
              <w:t xml:space="preserve">Secondary Education Division, Osaka International Secondary Academy</w:t>
            </w:r>
          </w:p>
        </w:tc>
      </w:tr>
      <w:tr>
        <w:tc>
          <w:tcPr/>
          <w:p>
            <w:pPr>
              <w:pStyle w:val="Compact"/>
              <w:jc w:val="left"/>
            </w:pPr>
            <w:r>
              <w:t xml:space="preserve">Location</w:t>
            </w:r>
          </w:p>
        </w:tc>
        <w:tc>
          <w:tcPr/>
          <w:p>
            <w:pPr>
              <w:pStyle w:val="Compact"/>
              <w:jc w:val="left"/>
            </w:pPr>
            <w:r>
              <w:t xml:space="preserve">Chuo-ku, Osaka, Japan (Primary Campus)</w:t>
            </w:r>
          </w:p>
        </w:tc>
      </w:tr>
      <w:tr>
        <w:tc>
          <w:tcPr/>
          <w:p>
            <w:pPr>
              <w:pStyle w:val="Compact"/>
              <w:jc w:val="left"/>
            </w:pPr>
            <w:r>
              <w:t xml:space="preserve">Teaching Load</w:t>
            </w:r>
          </w:p>
        </w:tc>
        <w:tc>
          <w:tcPr/>
          <w:p>
            <w:pPr>
              <w:pStyle w:val="Compact"/>
              <w:jc w:val="left"/>
            </w:pPr>
            <w:r>
              <w:t xml:space="preserve">22 periods per week (45 minutes each) + 6 hours of preparation</w:t>
            </w:r>
          </w:p>
        </w:tc>
      </w:tr>
      <w:tr>
        <w:tc>
          <w:tcPr/>
          <w:p>
            <w:pPr>
              <w:pStyle w:val="Compact"/>
              <w:jc w:val="left"/>
            </w:pPr>
            <w:r>
              <w:t xml:space="preserve">Contract Duration</w:t>
            </w:r>
          </w:p>
        </w:tc>
        <w:tc>
          <w:tcPr/>
          <w:p>
            <w:pPr>
              <w:pStyle w:val="Compact"/>
              <w:jc w:val="left"/>
            </w:pPr>
            <w:r>
              <w:t xml:space="preserve">Academic Year 2025–2026 (April 2025 – March 2026), renewable</w:t>
            </w:r>
          </w:p>
        </w:tc>
      </w:tr>
      <w:tr>
        <w:tc>
          <w:tcPr/>
          <w:p>
            <w:pPr>
              <w:pStyle w:val="Compact"/>
              <w:jc w:val="left"/>
            </w:pPr>
            <w:r>
              <w:t xml:space="preserve">Qualification Required</w:t>
            </w:r>
          </w:p>
        </w:tc>
        <w:tc>
          <w:tcPr/>
          <w:p>
            <w:pPr>
              <w:pStyle w:val="Compact"/>
              <w:jc w:val="left"/>
            </w:pPr>
            <w:r>
              <w:t xml:space="preserve">Shikaken (Teaching License) – Secondary level, or equivalent MEXT-recognized credential</w:t>
            </w:r>
          </w:p>
        </w:tc>
      </w:tr>
      <w:tr>
        <w:tc>
          <w:tcPr/>
          <w:p>
            <w:pPr>
              <w:pStyle w:val="Compact"/>
              <w:jc w:val="left"/>
            </w:pPr>
            <w:r>
              <w:t xml:space="preserve">Language Requirement</w:t>
            </w:r>
          </w:p>
        </w:tc>
        <w:tc>
          <w:tcPr/>
          <w:p>
            <w:pPr>
              <w:pStyle w:val="Compact"/>
              <w:jc w:val="left"/>
            </w:pPr>
            <w:r>
              <w:t xml:space="preserve">Japanese JLPT N1 or above; English proficiency (TOEFL 90+) preferred</w:t>
            </w:r>
          </w:p>
        </w:tc>
      </w:tr>
    </w:tbl>
    <w:bookmarkEnd w:id="22"/>
    <w:bookmarkStart w:id="23" w:name="financial-breakdown-quotation-estimate"/>
    <w:p>
      <w:pPr>
        <w:pStyle w:val="Heading2"/>
      </w:pPr>
      <w:r>
        <w:t xml:space="preserve">3. Financial Breakdown – Quotation Estimate</w:t>
      </w:r>
    </w:p>
    <w:p>
      <w:pPr>
        <w:pStyle w:val="FirstParagraph"/>
      </w:pPr>
      <w:r>
        <w:t xml:space="preserve">The following Quotation Estimate details all cost components associated with the engagement of the Teacher Secondary in Japan Osaka. All monetary values are expressed in Japanese Yen (JPY) unless otherwise stated.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Component</w:t>
            </w:r>
          </w:p>
        </w:tc>
        <w:tc>
          <w:tcPr/>
          <w:p>
            <w:pPr>
              <w:pStyle w:val="Compact"/>
              <w:jc w:val="left"/>
            </w:pPr>
            <w:r>
              <w:t xml:space="preserve">Frequency</w:t>
            </w:r>
          </w:p>
        </w:tc>
        <w:tc>
          <w:tcPr/>
          <w:p>
            <w:pPr>
              <w:pStyle w:val="Compact"/>
              <w:jc w:val="left"/>
            </w:pPr>
            <w:r>
              <w:t xml:space="preserve">Amount (JPY)</w:t>
            </w:r>
          </w:p>
        </w:tc>
      </w:tr>
      <w:tr>
        <w:tc>
          <w:tcPr/>
          <w:p>
            <w:pPr>
              <w:pStyle w:val="Compact"/>
              <w:jc w:val="left"/>
            </w:pPr>
            <w:r>
              <w:t xml:space="preserve">Base Monthly Salary (Teacher Secondary)</w:t>
            </w:r>
          </w:p>
        </w:tc>
        <w:tc>
          <w:tcPr/>
          <w:p>
            <w:pPr>
              <w:pStyle w:val="Compact"/>
              <w:jc w:val="left"/>
            </w:pPr>
            <w:r>
              <w:t xml:space="preserve">Monthly</w:t>
            </w:r>
          </w:p>
        </w:tc>
        <w:tc>
          <w:tcPr/>
          <w:p>
            <w:pPr>
              <w:pStyle w:val="Compact"/>
              <w:jc w:val="left"/>
            </w:pPr>
            <w:r>
              <w:t xml:space="preserve">¥385,000</w:t>
            </w:r>
          </w:p>
        </w:tc>
      </w:tr>
      <w:tr>
        <w:tc>
          <w:tcPr/>
          <w:p>
            <w:pPr>
              <w:pStyle w:val="Compact"/>
              <w:jc w:val="left"/>
            </w:pPr>
            <w:r>
              <w:t xml:space="preserve">Teaching Load Allowance (22 periods/week)</w:t>
            </w:r>
          </w:p>
        </w:tc>
        <w:tc>
          <w:tcPr/>
          <w:p>
            <w:pPr>
              <w:pStyle w:val="Compact"/>
              <w:jc w:val="left"/>
            </w:pPr>
            <w:r>
              <w:t xml:space="preserve">Monthly</w:t>
            </w:r>
          </w:p>
        </w:tc>
        <w:tc>
          <w:tcPr/>
          <w:p>
            <w:pPr>
              <w:pStyle w:val="Compact"/>
              <w:jc w:val="left"/>
            </w:pPr>
            <w:r>
              <w:t xml:space="preserve">¥42,000</w:t>
            </w:r>
          </w:p>
        </w:tc>
      </w:tr>
      <w:tr>
        <w:tc>
          <w:tcPr/>
          <w:p>
            <w:pPr>
              <w:pStyle w:val="Compact"/>
              <w:jc w:val="left"/>
            </w:pPr>
            <w:r>
              <w:t xml:space="preserve">Osaka Metropolitan Area Cost-of-Living Adjustment</w:t>
            </w:r>
          </w:p>
        </w:tc>
        <w:tc>
          <w:tcPr/>
          <w:p>
            <w:pPr>
              <w:pStyle w:val="Compact"/>
              <w:jc w:val="left"/>
            </w:pPr>
            <w:r>
              <w:t xml:space="preserve">Monthly</w:t>
            </w:r>
          </w:p>
        </w:tc>
        <w:tc>
          <w:tcPr/>
          <w:p>
            <w:pPr>
              <w:pStyle w:val="Compact"/>
              <w:jc w:val="left"/>
            </w:pPr>
            <w:r>
              <w:t xml:space="preserve">¥18,500</w:t>
            </w:r>
          </w:p>
        </w:tc>
      </w:tr>
      <w:tr>
        <w:tc>
          <w:tcPr/>
          <w:p>
            <w:pPr>
              <w:pStyle w:val="Compact"/>
              <w:jc w:val="left"/>
            </w:pPr>
            <w:r>
              <w:t xml:space="preserve">Annual Performance Bonus (Teacher Secondary Evaluation)</w:t>
            </w:r>
          </w:p>
        </w:tc>
        <w:tc>
          <w:tcPr/>
          <w:p>
            <w:pPr>
              <w:pStyle w:val="Compact"/>
              <w:jc w:val="left"/>
            </w:pPr>
            <w:r>
              <w:t xml:space="preserve">Annual (June &amp; December)</w:t>
            </w:r>
          </w:p>
        </w:tc>
        <w:tc>
          <w:tcPr/>
          <w:p>
            <w:pPr>
              <w:pStyle w:val="Compact"/>
              <w:jc w:val="left"/>
            </w:pPr>
            <w:r>
              <w:t xml:space="preserve">¥770,000</w:t>
            </w:r>
          </w:p>
        </w:tc>
      </w:tr>
      <w:tr>
        <w:tc>
          <w:tcPr/>
          <w:p>
            <w:pPr>
              <w:pStyle w:val="Compact"/>
              <w:jc w:val="left"/>
            </w:pPr>
            <w:r>
              <w:t xml:space="preserve">Residence Allowance (Housing Subsidy, Osaka)</w:t>
            </w:r>
          </w:p>
        </w:tc>
        <w:tc>
          <w:tcPr/>
          <w:p>
            <w:pPr>
              <w:pStyle w:val="Compact"/>
              <w:jc w:val="left"/>
            </w:pPr>
            <w:r>
              <w:t xml:space="preserve">Monthly</w:t>
            </w:r>
          </w:p>
        </w:tc>
        <w:tc>
          <w:tcPr/>
          <w:p>
            <w:pPr>
              <w:pStyle w:val="Compact"/>
              <w:jc w:val="left"/>
            </w:pPr>
            <w:r>
              <w:t xml:space="preserve">¥55,000</w:t>
            </w:r>
          </w:p>
        </w:tc>
      </w:tr>
      <w:tr>
        <w:tc>
          <w:tcPr/>
          <w:p>
            <w:pPr>
              <w:pStyle w:val="Compact"/>
              <w:jc w:val="left"/>
            </w:pPr>
            <w:r>
              <w:t xml:space="preserve">Transportation Reimbursement (Osaka Metro / JR Pass)</w:t>
            </w:r>
          </w:p>
        </w:tc>
        <w:tc>
          <w:tcPr/>
          <w:p>
            <w:pPr>
              <w:pStyle w:val="Compact"/>
              <w:jc w:val="left"/>
            </w:pPr>
            <w:r>
              <w:t xml:space="preserve">Monthly</w:t>
            </w:r>
          </w:p>
        </w:tc>
        <w:tc>
          <w:tcPr/>
          <w:p>
            <w:pPr>
              <w:pStyle w:val="Compact"/>
              <w:jc w:val="left"/>
            </w:pPr>
            <w:r>
              <w:t xml:space="preserve">¥12,000</w:t>
            </w:r>
          </w:p>
        </w:tc>
      </w:tr>
      <w:tr>
        <w:tc>
          <w:tcPr/>
          <w:p>
            <w:pPr>
              <w:pStyle w:val="Compact"/>
              <w:jc w:val="left"/>
            </w:pPr>
            <w:r>
              <w:t xml:space="preserve">Professional Development &amp; Training (MEXT Compliance)</w:t>
            </w:r>
          </w:p>
        </w:tc>
        <w:tc>
          <w:tcPr/>
          <w:p>
            <w:pPr>
              <w:pStyle w:val="Compact"/>
              <w:jc w:val="left"/>
            </w:pPr>
            <w:r>
              <w:t xml:space="preserve">Annual</w:t>
            </w:r>
          </w:p>
        </w:tc>
        <w:tc>
          <w:tcPr/>
          <w:p>
            <w:pPr>
              <w:pStyle w:val="Compact"/>
              <w:jc w:val="left"/>
            </w:pPr>
            <w:r>
              <w:t xml:space="preserve">¥150,000</w:t>
            </w:r>
          </w:p>
        </w:tc>
      </w:tr>
      <w:tr>
        <w:tc>
          <w:tcPr/>
          <w:p>
            <w:pPr>
              <w:pStyle w:val="Compact"/>
              <w:jc w:val="left"/>
            </w:pPr>
            <w:r>
              <w:t xml:space="preserve">Health Insurance &amp; Pension (Employer Portion)</w:t>
            </w:r>
          </w:p>
        </w:tc>
        <w:tc>
          <w:tcPr/>
          <w:p>
            <w:pPr>
              <w:pStyle w:val="Compact"/>
              <w:jc w:val="left"/>
            </w:pPr>
            <w:r>
              <w:t xml:space="preserve">Monthly</w:t>
            </w:r>
          </w:p>
        </w:tc>
        <w:tc>
          <w:tcPr/>
          <w:p>
            <w:pPr>
              <w:pStyle w:val="Compact"/>
              <w:jc w:val="left"/>
            </w:pPr>
            <w:r>
              <w:t xml:space="preserve">¥48,200</w:t>
            </w:r>
          </w:p>
        </w:tc>
      </w:tr>
      <w:tr>
        <w:tc>
          <w:tcPr/>
          <w:p>
            <w:pPr>
              <w:pStyle w:val="Compact"/>
              <w:jc w:val="left"/>
            </w:pPr>
            <w:r>
              <w:t xml:space="preserve">Recruitment &amp; Onboarding Fee (One-Time)</w:t>
            </w:r>
          </w:p>
        </w:tc>
        <w:tc>
          <w:tcPr/>
          <w:p>
            <w:pPr>
              <w:pStyle w:val="Compact"/>
              <w:jc w:val="left"/>
            </w:pPr>
            <w:r>
              <w:t xml:space="preserve">One-Time</w:t>
            </w:r>
          </w:p>
        </w:tc>
        <w:tc>
          <w:tcPr/>
          <w:p>
            <w:pPr>
              <w:pStyle w:val="Compact"/>
              <w:jc w:val="left"/>
            </w:pPr>
            <w:r>
              <w:t xml:space="preserve">¥200,000</w:t>
            </w:r>
          </w:p>
        </w:tc>
      </w:tr>
      <w:tr>
        <w:tc>
          <w:tcPr/>
          <w:p>
            <w:pPr>
              <w:pStyle w:val="Compact"/>
              <w:jc w:val="left"/>
            </w:pPr>
            <w:r>
              <w:t xml:space="preserve">Visa Sponsorship &amp; Residency Processing (Japan)</w:t>
            </w:r>
          </w:p>
        </w:tc>
        <w:tc>
          <w:tcPr/>
          <w:p>
            <w:pPr>
              <w:pStyle w:val="Compact"/>
              <w:jc w:val="left"/>
            </w:pPr>
            <w:r>
              <w:t xml:space="preserve">One-Time</w:t>
            </w:r>
          </w:p>
        </w:tc>
        <w:tc>
          <w:tcPr/>
          <w:p>
            <w:pPr>
              <w:pStyle w:val="Compact"/>
              <w:jc w:val="left"/>
            </w:pPr>
            <w:r>
              <w:t xml:space="preserve">¥85,000</w:t>
            </w:r>
          </w:p>
        </w:tc>
      </w:tr>
      <w:tr>
        <w:tc>
          <w:tcPr>
            <w:gridSpan w:val="2"/>
          </w:tcPr>
          <w:p>
            <w:pPr>
              <w:pStyle w:val="Compact"/>
              <w:jc w:val="left"/>
            </w:pPr>
            <w:r>
              <w:t xml:space="preserve">TOTAL ESTIMATED ANNUAL COST (Teacher Secondary, Japan Osaka)</w:t>
            </w:r>
          </w:p>
        </w:tc>
        <w:tc>
          <w:tcPr/>
          <w:p>
            <w:pPr>
              <w:pStyle w:val="Compact"/>
              <w:jc w:val="left"/>
            </w:pPr>
            <w:r>
              <w:t xml:space="preserve">¥7,432,000</w:t>
            </w:r>
          </w:p>
        </w:tc>
      </w:tr>
    </w:tbl>
    <w:bookmarkEnd w:id="23"/>
    <w:bookmarkStart w:id="24" w:name="Xd7efab0fcf4f32d4ff007f000f9f19049d7dac5"/>
    <w:p>
      <w:pPr>
        <w:pStyle w:val="Heading2"/>
      </w:pPr>
      <w:r>
        <w:t xml:space="preserve">4. Additional Provisions Specific to Japan Osaka</w:t>
      </w:r>
    </w:p>
    <w:p>
      <w:pPr>
        <w:pStyle w:val="FirstParagraph"/>
      </w:pPr>
      <w:r>
        <w:t xml:space="preserve">In accordance with local regulations in Japan Osaka, the Academy shall provide the Teacher Secondary with access to the Osaka Municipal Education Board's resource library, participation in the Kansai Regional Secondary Teachers' Association, and enrollment in the Osaka Prefectural Teachers' Mutual Aid Association. The Teacher Secondary shall also be entitled to the standard Japanese school calendar, which includes approximately 120 instructional days per academic year, with scheduled breaks for Obon (August), New Year (late December to early January), and the spring and winter vacation periods.</w:t>
      </w:r>
    </w:p>
    <w:p>
      <w:pPr>
        <w:pStyle w:val="BodyText"/>
      </w:pPr>
      <w:r>
        <w:t xml:space="preserve">This Quotation Estimate further includes a one-time relocation stipend of ¥150,000 for the Teacher Secondary relocating from outside the Osaka prefecture, and a language immersion support program (JLPT preparation) valued at ¥60,000 per academic year for non-native Japanese speakers.</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a period of ninety (90) days from the date of issue. Beyond this period, all figures are subject to revision based on prevailing wage indices in Japan Osaka.</w:t>
      </w:r>
    </w:p>
    <w:p>
      <w:pPr>
        <w:numPr>
          <w:ilvl w:val="0"/>
          <w:numId w:val="1001"/>
        </w:numPr>
        <w:pStyle w:val="Compact"/>
      </w:pPr>
      <w:r>
        <w:t xml:space="preserve">The Teacher Secondary engagement is contingent upon successful completion of a background check, verification of the Shikaken teaching license, and a minimum of two (2) in-person teaching demonstrations at the Academy's Osaka campus.</w:t>
      </w:r>
    </w:p>
    <w:p>
      <w:pPr>
        <w:numPr>
          <w:ilvl w:val="0"/>
          <w:numId w:val="1001"/>
        </w:numPr>
        <w:pStyle w:val="Compact"/>
      </w:pPr>
      <w:r>
        <w:t xml:space="preserve">All compensation outlined in this Quotation Estimate is subject to applicable Japanese income tax withholding, resident tax (Osaka City), and social insurance deductions as mandated by national and prefectural law.</w:t>
      </w:r>
    </w:p>
    <w:p>
      <w:pPr>
        <w:numPr>
          <w:ilvl w:val="0"/>
          <w:numId w:val="1001"/>
        </w:numPr>
        <w:pStyle w:val="Compact"/>
      </w:pPr>
      <w:r>
        <w:t xml:space="preserve">The Academy reserves the right to adjust the teaching load by up to ±2 periods per week without amending this Quotation Estimate, provided the total does not exceed 24 periods per week.</w:t>
      </w:r>
    </w:p>
    <w:p>
      <w:pPr>
        <w:numPr>
          <w:ilvl w:val="0"/>
          <w:numId w:val="1001"/>
        </w:numPr>
        <w:pStyle w:val="Compact"/>
      </w:pPr>
      <w:r>
        <w:t xml:space="preserve">Termination of the Teacher Secondary contract prior to the end of the academic year requires a written notice period of sixty (60) days, in compliance with Osaka Prefecture labor ordinances.</w:t>
      </w:r>
    </w:p>
    <w:p>
      <w:pPr>
        <w:numPr>
          <w:ilvl w:val="0"/>
          <w:numId w:val="1001"/>
        </w:numPr>
        <w:pStyle w:val="Compact"/>
      </w:pPr>
      <w:r>
        <w:t xml:space="preserve">This Quotation Estimate does not constitute a binding employment contract. A formal employment agreement, drafted in both Japanese and English, shall be executed upon mutual acceptance of these terms.</w:t>
      </w:r>
    </w:p>
    <w:p>
      <w:pPr>
        <w:numPr>
          <w:ilvl w:val="0"/>
          <w:numId w:val="1001"/>
        </w:numPr>
        <w:pStyle w:val="Compact"/>
      </w:pPr>
      <w:r>
        <w:t xml:space="preserve">All disputes arising from this Quotation Estimate or the subsequent employment of the Teacher Secondary shall be resolved through mediation under the Osaka Labor Standards Inspection Office before any litigation is pursued.</w:t>
      </w:r>
    </w:p>
    <w:p>
      <w:pPr>
        <w:pStyle w:val="FirstParagraph"/>
      </w:pPr>
      <w:r>
        <w:rPr>
          <w:bCs/>
          <w:b/>
        </w:rPr>
        <w:t xml:space="preserve">Important Note:</w:t>
      </w:r>
      <w:r>
        <w:t xml:space="preserve"> </w:t>
      </w:r>
      <w:r>
        <w:t xml:space="preserve">This Quotation Estimate is prepared exclusively for the internal budgeting and approval processes of Osaka International Secondary Academy. It is not to be distributed to third parties without written authorization from the Academy's Director of Human Resources. All references to "Teacher Secondary" in this document pertain specifically to the secondary education level (Grades 7–12 equivalent) as defined by the Japanese national curriculum framework.</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Osaka International Secondary Academy confirms that this Quotation Estimate accurately reflects the estimated costs for the engagement of a Teacher Secondary in Japan Osaka for the 2025–2026 academic year.</w:t>
      </w:r>
    </w:p>
    <w:p>
      <w:pPr>
        <w:pStyle w:val="BodyText"/>
      </w:pPr>
      <w:r>
        <w:rPr>
          <w:bCs/>
          <w:b/>
        </w:rPr>
        <w:t xml:space="preserve">Dr. Kenji Tanaka</w:t>
      </w:r>
      <w:r>
        <w:br/>
      </w:r>
      <w:r>
        <w:t xml:space="preserve">Director of Human Resources</w:t>
      </w:r>
      <w:r>
        <w:br/>
      </w:r>
      <w:r>
        <w:t xml:space="preserve">Osaka International Secondary Academy</w:t>
      </w:r>
      <w:r>
        <w:br/>
      </w:r>
      <w:r>
        <w:t xml:space="preserve">Date: _______________</w:t>
      </w:r>
    </w:p>
    <w:p>
      <w:pPr>
        <w:pStyle w:val="BodyText"/>
      </w:pPr>
      <w:r>
        <w:rPr>
          <w:bCs/>
          <w:b/>
        </w:rPr>
        <w:t xml:space="preserve">Ms. Yuki Morimoto</w:t>
      </w:r>
      <w:r>
        <w:br/>
      </w:r>
      <w:r>
        <w:t xml:space="preserve">Chief Financial Officer</w:t>
      </w:r>
      <w:r>
        <w:br/>
      </w:r>
      <w:r>
        <w:t xml:space="preserve">Osaka International Secondary Academy</w:t>
      </w:r>
      <w:r>
        <w:br/>
      </w:r>
      <w:r>
        <w:t xml:space="preserve">Date: _______________</w:t>
      </w:r>
    </w:p>
    <w:p>
      <w:pPr>
        <w:pStyle w:val="BodyText"/>
      </w:pPr>
      <w:r>
        <w:t xml:space="preserve">Quotation Estimate No. QTE-OSK-2025-0417 | Teacher Secondary | Japan Osaka | Page 1 of 1</w:t>
      </w:r>
    </w:p>
    <w:p>
      <w:pPr>
        <w:pStyle w:val="BodyText"/>
      </w:pPr>
      <w:r>
        <w:t xml:space="preserve">© 2025 Osaka International Secondary Academy.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Japan Osaka</dc:title>
  <dc:creator/>
  <dc:language>en</dc:language>
  <cp:keywords/>
  <dcterms:created xsi:type="dcterms:W3CDTF">2026-10-10T03:38:53Z</dcterms:created>
  <dcterms:modified xsi:type="dcterms:W3CDTF">2026-10-10T03:38:53Z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