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Professional Education Staffing Solutions Ltd</w:t>
      </w:r>
    </w:p>
    <w:p>
      <w:pPr>
        <w:pStyle w:val="BodyText"/>
      </w:pPr>
      <w:r>
        <w:t xml:space="preserve">Level 4, 125 Queen Street, Auckland CBD, Auckland 1010, New Zealand</w:t>
      </w:r>
    </w:p>
    <w:p>
      <w:pPr>
        <w:pStyle w:val="BodyText"/>
      </w:pPr>
      <w:r>
        <w:t xml:space="preserve">Phone: +64 9 376 4521 | Email: enquiries@professionaledstaff.co.nz</w:t>
      </w:r>
    </w:p>
    <w:p>
      <w:pPr>
        <w:pStyle w:val="BodyText"/>
      </w:pPr>
      <w:r>
        <w:t xml:space="preserve">NZBN: 9429045678901 | GST No: 123-456-789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QTE-AKL-2025-0487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Auckland Regional Education Board / School Principal, Auckland, New Zealand</w:t>
            </w:r>
          </w:p>
        </w:tc>
      </w:tr>
      <w:tr>
        <w:tc>
          <w:tcPr/>
          <w:p>
            <w:pPr>
              <w:pStyle w:val="Compact"/>
              <w:jc w:val="left"/>
            </w:pPr>
            <w:r>
              <w:t xml:space="preserve">Position:</w:t>
            </w:r>
          </w:p>
        </w:tc>
        <w:tc>
          <w:tcPr/>
          <w:p>
            <w:pPr>
              <w:pStyle w:val="Compact"/>
              <w:jc w:val="left"/>
            </w:pPr>
            <w:r>
              <w:t xml:space="preserve">Teacher Secondary (Years 9–13)</w:t>
            </w:r>
          </w:p>
        </w:tc>
      </w:tr>
      <w:tr>
        <w:tc>
          <w:tcPr/>
          <w:p>
            <w:pPr>
              <w:pStyle w:val="Compact"/>
              <w:jc w:val="left"/>
            </w:pPr>
            <w:r>
              <w:t xml:space="preserve">Location:</w:t>
            </w:r>
          </w:p>
        </w:tc>
        <w:tc>
          <w:tcPr/>
          <w:p>
            <w:pPr>
              <w:pStyle w:val="Compact"/>
              <w:jc w:val="left"/>
            </w:pPr>
            <w:r>
              <w:t xml:space="preserve">Auckland, New Zealand</w:t>
            </w:r>
          </w:p>
        </w:tc>
      </w:tr>
      <w:tr>
        <w:tc>
          <w:tcPr/>
          <w:p>
            <w:pPr>
              <w:pStyle w:val="Compact"/>
              <w:jc w:val="left"/>
            </w:pPr>
            <w:r>
              <w:t xml:space="preserve">Contract Duration:</w:t>
            </w:r>
          </w:p>
        </w:tc>
        <w:tc>
          <w:tcPr/>
          <w:p>
            <w:pPr>
              <w:pStyle w:val="Compact"/>
              <w:jc w:val="left"/>
            </w:pPr>
            <w:r>
              <w:t xml:space="preserve">12 months (1 January 2026 – 31 December 2026), renewable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response to the request for a qualified</w:t>
      </w:r>
      <w:r>
        <w:t xml:space="preserve"> </w:t>
      </w:r>
      <w:r>
        <w:t xml:space="preserve">Teacher Secondary</w:t>
      </w:r>
      <w:r>
        <w:t xml:space="preserve"> </w:t>
      </w:r>
      <w:r>
        <w:t xml:space="preserve">to be placed at a secondary school within the</w:t>
      </w:r>
      <w:r>
        <w:t xml:space="preserve"> </w:t>
      </w:r>
      <w:r>
        <w:t xml:space="preserve">New Zealand Auckland</w:t>
      </w:r>
      <w:r>
        <w:t xml:space="preserve"> </w:t>
      </w:r>
      <w:r>
        <w:t xml:space="preserve">region. The purpose of this document is to provide a comprehensive, itemised breakdown of all costs associated with the recruitment, placement, and ongoing support of a fully registered secondary school teacher for the 2026 academic year. All figures are quoted in New Zealand Dollars (NZD) and are inclusive of Goods and Services Tax (GST) at the current rate of 15%.</w:t>
      </w:r>
    </w:p>
    <w:p>
      <w:pPr>
        <w:pStyle w:val="BodyText"/>
      </w:pPr>
      <w:r>
        <w:t xml:space="preserve">The</w:t>
      </w:r>
      <w:r>
        <w:t xml:space="preserve"> </w:t>
      </w:r>
      <w:r>
        <w:t xml:space="preserve">Teacher Secondary</w:t>
      </w:r>
      <w:r>
        <w:t xml:space="preserve"> </w:t>
      </w:r>
      <w:r>
        <w:t xml:space="preserve">position described in this</w:t>
      </w:r>
      <w:r>
        <w:t xml:space="preserve"> </w:t>
      </w:r>
      <w:r>
        <w:t xml:space="preserve">Quotation Estimate</w:t>
      </w:r>
      <w:r>
        <w:t xml:space="preserve"> </w:t>
      </w:r>
      <w:r>
        <w:t xml:space="preserve">encompasses the delivery of curriculum-aligned instruction across Years 9 through 13, in accordance with the New Zealand Curriculum (NZE) and the requirements set forth by the New Zealand Curriculum Council. The appointed teacher will be responsible for planning, delivering, and assessing learning programmes in one or more subject areas, including but not limited to Mathematics, Science, English, Social Sciences, or the Arts, as specified by the hiring institution in Auckland.</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t xml:space="preserve">1.1</w:t>
            </w:r>
          </w:p>
        </w:tc>
        <w:tc>
          <w:tcPr/>
          <w:p>
            <w:pPr>
              <w:pStyle w:val="Compact"/>
              <w:jc w:val="left"/>
            </w:pPr>
            <w:r>
              <w:t xml:space="preserve">Recruitment and sourcing of a fully registered Teacher Secondary (NZTC-registered, Years 9–13)</w:t>
            </w:r>
          </w:p>
        </w:tc>
        <w:tc>
          <w:tcPr/>
          <w:p>
            <w:pPr>
              <w:pStyle w:val="Compact"/>
              <w:jc w:val="left"/>
            </w:pPr>
            <w:r>
              <w:t xml:space="preserve">Flat</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1.2</w:t>
            </w:r>
          </w:p>
        </w:tc>
        <w:tc>
          <w:tcPr/>
          <w:p>
            <w:pPr>
              <w:pStyle w:val="Compact"/>
              <w:jc w:val="left"/>
            </w:pPr>
            <w:r>
              <w:t xml:space="preserve">Verification of teaching credentials, NZTC registration, and Working for Workers Check (WFC) for New Zealand Auckland placement</w:t>
            </w:r>
          </w:p>
        </w:tc>
        <w:tc>
          <w:tcPr/>
          <w:p>
            <w:pPr>
              <w:pStyle w:val="Compact"/>
              <w:jc w:val="left"/>
            </w:pPr>
            <w:r>
              <w:t xml:space="preserve">Flat</w:t>
            </w:r>
          </w:p>
        </w:tc>
        <w:tc>
          <w:tcPr/>
          <w:p>
            <w:pPr>
              <w:pStyle w:val="Compact"/>
              <w:jc w:val="left"/>
            </w:pPr>
            <w:r>
              <w:t xml:space="preserve">650.00</w:t>
            </w:r>
          </w:p>
        </w:tc>
        <w:tc>
          <w:tcPr/>
          <w:p>
            <w:pPr>
              <w:pStyle w:val="Compact"/>
              <w:jc w:val="left"/>
            </w:pPr>
            <w:r>
              <w:t xml:space="preserve">1</w:t>
            </w:r>
          </w:p>
        </w:tc>
        <w:tc>
          <w:tcPr/>
          <w:p>
            <w:pPr>
              <w:pStyle w:val="Compact"/>
              <w:jc w:val="left"/>
            </w:pPr>
            <w:r>
              <w:t xml:space="preserve">650.00</w:t>
            </w:r>
          </w:p>
        </w:tc>
      </w:tr>
      <w:tr>
        <w:tc>
          <w:tcPr/>
          <w:p>
            <w:pPr>
              <w:pStyle w:val="Compact"/>
              <w:jc w:val="left"/>
            </w:pPr>
            <w:r>
              <w:t xml:space="preserve">1.3</w:t>
            </w:r>
          </w:p>
        </w:tc>
        <w:tc>
          <w:tcPr/>
          <w:p>
            <w:pPr>
              <w:pStyle w:val="Compact"/>
              <w:jc w:val="left"/>
            </w:pPr>
            <w:r>
              <w:t xml:space="preserve">Weekly salary – Teacher Secondary (based on NZ Education Salary Schedule, Step 3, 2026)</w:t>
            </w:r>
          </w:p>
        </w:tc>
        <w:tc>
          <w:tcPr/>
          <w:p>
            <w:pPr>
              <w:pStyle w:val="Compact"/>
              <w:jc w:val="left"/>
            </w:pPr>
            <w:r>
              <w:t xml:space="preserve">Week</w:t>
            </w:r>
          </w:p>
        </w:tc>
        <w:tc>
          <w:tcPr/>
          <w:p>
            <w:pPr>
              <w:pStyle w:val="Compact"/>
              <w:jc w:val="left"/>
            </w:pPr>
            <w:r>
              <w:t xml:space="preserve">1,845.00</w:t>
            </w:r>
          </w:p>
        </w:tc>
        <w:tc>
          <w:tcPr/>
          <w:p>
            <w:pPr>
              <w:pStyle w:val="Compact"/>
              <w:jc w:val="left"/>
            </w:pPr>
            <w:r>
              <w:t xml:space="preserve">40</w:t>
            </w:r>
          </w:p>
        </w:tc>
        <w:tc>
          <w:tcPr/>
          <w:p>
            <w:pPr>
              <w:pStyle w:val="Compact"/>
              <w:jc w:val="left"/>
            </w:pPr>
            <w:r>
              <w:t xml:space="preserve">73,800.00</w:t>
            </w:r>
          </w:p>
        </w:tc>
      </w:tr>
      <w:tr>
        <w:tc>
          <w:tcPr/>
          <w:p>
            <w:pPr>
              <w:pStyle w:val="Compact"/>
              <w:jc w:val="left"/>
            </w:pPr>
            <w:r>
              <w:t xml:space="preserve">1.4</w:t>
            </w:r>
          </w:p>
        </w:tc>
        <w:tc>
          <w:tcPr/>
          <w:p>
            <w:pPr>
              <w:pStyle w:val="Compact"/>
              <w:jc w:val="left"/>
            </w:pPr>
            <w:r>
              <w:t xml:space="preserve">Employer superannuation contribution (KiwiSaver, 3% minimum)</w:t>
            </w:r>
          </w:p>
        </w:tc>
        <w:tc>
          <w:tcPr/>
          <w:p>
            <w:pPr>
              <w:pStyle w:val="Compact"/>
              <w:jc w:val="left"/>
            </w:pPr>
            <w:r>
              <w:t xml:space="preserve">Month</w:t>
            </w:r>
          </w:p>
        </w:tc>
        <w:tc>
          <w:tcPr/>
          <w:p>
            <w:pPr>
              <w:pStyle w:val="Compact"/>
              <w:jc w:val="left"/>
            </w:pPr>
            <w:r>
              <w:t xml:space="preserve">462.00</w:t>
            </w:r>
          </w:p>
        </w:tc>
        <w:tc>
          <w:tcPr/>
          <w:p>
            <w:pPr>
              <w:pStyle w:val="Compact"/>
              <w:jc w:val="left"/>
            </w:pPr>
            <w:r>
              <w:t xml:space="preserve">12</w:t>
            </w:r>
          </w:p>
        </w:tc>
        <w:tc>
          <w:tcPr/>
          <w:p>
            <w:pPr>
              <w:pStyle w:val="Compact"/>
              <w:jc w:val="left"/>
            </w:pPr>
            <w:r>
              <w:t xml:space="preserve">5,544.00</w:t>
            </w:r>
          </w:p>
        </w:tc>
      </w:tr>
      <w:tr>
        <w:tc>
          <w:tcPr/>
          <w:p>
            <w:pPr>
              <w:pStyle w:val="Compact"/>
              <w:jc w:val="left"/>
            </w:pPr>
            <w:r>
              <w:t xml:space="preserve">1.5</w:t>
            </w:r>
          </w:p>
        </w:tc>
        <w:tc>
          <w:tcPr/>
          <w:p>
            <w:pPr>
              <w:pStyle w:val="Compact"/>
              <w:jc w:val="left"/>
            </w:pPr>
            <w:r>
              <w:t xml:space="preserve">Annual leave accrual (4 weeks, pro-rated for 12-month contract)</w:t>
            </w:r>
          </w:p>
        </w:tc>
        <w:tc>
          <w:tcPr/>
          <w:p>
            <w:pPr>
              <w:pStyle w:val="Compact"/>
              <w:jc w:val="left"/>
            </w:pPr>
            <w:r>
              <w:t xml:space="preserve">Flat</w:t>
            </w:r>
          </w:p>
        </w:tc>
        <w:tc>
          <w:tcPr/>
          <w:p>
            <w:pPr>
              <w:pStyle w:val="Compact"/>
              <w:jc w:val="left"/>
            </w:pPr>
            <w:r>
              <w:t xml:space="preserve">7,380.00</w:t>
            </w:r>
          </w:p>
        </w:tc>
        <w:tc>
          <w:tcPr/>
          <w:p>
            <w:pPr>
              <w:pStyle w:val="Compact"/>
              <w:jc w:val="left"/>
            </w:pPr>
            <w:r>
              <w:t xml:space="preserve">1</w:t>
            </w:r>
          </w:p>
        </w:tc>
        <w:tc>
          <w:tcPr/>
          <w:p>
            <w:pPr>
              <w:pStyle w:val="Compact"/>
              <w:jc w:val="left"/>
            </w:pPr>
            <w:r>
              <w:t xml:space="preserve">7,380.00</w:t>
            </w:r>
          </w:p>
        </w:tc>
      </w:tr>
      <w:tr>
        <w:tc>
          <w:tcPr/>
          <w:p>
            <w:pPr>
              <w:pStyle w:val="Compact"/>
              <w:jc w:val="left"/>
            </w:pPr>
            <w:r>
              <w:t xml:space="preserve">1.6</w:t>
            </w:r>
          </w:p>
        </w:tc>
        <w:tc>
          <w:tcPr/>
          <w:p>
            <w:pPr>
              <w:pStyle w:val="Compact"/>
              <w:jc w:val="left"/>
            </w:pPr>
            <w:r>
              <w:t xml:space="preserve">Professional development allowance (NZQA-aligned CPD, Auckland-based providers)</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1.7</w:t>
            </w:r>
          </w:p>
        </w:tc>
        <w:tc>
          <w:tcPr/>
          <w:p>
            <w:pPr>
              <w:pStyle w:val="Compact"/>
              <w:jc w:val="left"/>
            </w:pPr>
            <w:r>
              <w:t xml:space="preserve">Induction and mentoring programme (first 8 weeks, delivered in New Zealand Auckland)</w:t>
            </w:r>
          </w:p>
        </w:tc>
        <w:tc>
          <w:tcPr/>
          <w:p>
            <w:pPr>
              <w:pStyle w:val="Compact"/>
              <w:jc w:val="left"/>
            </w:pPr>
            <w:r>
              <w:t xml:space="preserve">Flat</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1.8</w:t>
            </w:r>
          </w:p>
        </w:tc>
        <w:tc>
          <w:tcPr/>
          <w:p>
            <w:pPr>
              <w:pStyle w:val="Compact"/>
              <w:jc w:val="left"/>
            </w:pPr>
            <w:r>
              <w:t xml:space="preserve">Ongoing HR and payroll administration (monthly invoicing, ACC levies, IRD compliance)</w:t>
            </w:r>
          </w:p>
        </w:tc>
        <w:tc>
          <w:tcPr/>
          <w:p>
            <w:pPr>
              <w:pStyle w:val="Compact"/>
              <w:jc w:val="left"/>
            </w:pPr>
            <w:r>
              <w:t xml:space="preserve">Month</w:t>
            </w:r>
          </w:p>
        </w:tc>
        <w:tc>
          <w:tcPr/>
          <w:p>
            <w:pPr>
              <w:pStyle w:val="Compact"/>
              <w:jc w:val="left"/>
            </w:pPr>
            <w:r>
              <w:t xml:space="preserve">320.00</w:t>
            </w:r>
          </w:p>
        </w:tc>
        <w:tc>
          <w:tcPr/>
          <w:p>
            <w:pPr>
              <w:pStyle w:val="Compact"/>
              <w:jc w:val="left"/>
            </w:pPr>
            <w:r>
              <w:t xml:space="preserve">12</w:t>
            </w:r>
          </w:p>
        </w:tc>
        <w:tc>
          <w:tcPr/>
          <w:p>
            <w:pPr>
              <w:pStyle w:val="Compact"/>
              <w:jc w:val="left"/>
            </w:pPr>
            <w:r>
              <w:t xml:space="preserve">3,840.00</w:t>
            </w:r>
          </w:p>
        </w:tc>
      </w:tr>
      <w:tr>
        <w:tc>
          <w:tcPr/>
          <w:p>
            <w:pPr>
              <w:pStyle w:val="Compact"/>
              <w:jc w:val="left"/>
            </w:pPr>
            <w:r>
              <w:t xml:space="preserve">1.9</w:t>
            </w:r>
          </w:p>
        </w:tc>
        <w:tc>
          <w:tcPr/>
          <w:p>
            <w:pPr>
              <w:pStyle w:val="Compact"/>
              <w:jc w:val="left"/>
            </w:pPr>
            <w:r>
              <w:t xml:space="preserve">Substitute cover provision (up to 10 days per year, Teacher Secondary replacement)</w:t>
            </w:r>
          </w:p>
        </w:tc>
        <w:tc>
          <w:tcPr/>
          <w:p>
            <w:pPr>
              <w:pStyle w:val="Compact"/>
              <w:jc w:val="left"/>
            </w:pPr>
            <w:r>
              <w:t xml:space="preserve">Day</w:t>
            </w:r>
          </w:p>
        </w:tc>
        <w:tc>
          <w:tcPr/>
          <w:p>
            <w:pPr>
              <w:pStyle w:val="Compact"/>
              <w:jc w:val="left"/>
            </w:pPr>
            <w:r>
              <w:t xml:space="preserve">520.00</w:t>
            </w:r>
          </w:p>
        </w:tc>
        <w:tc>
          <w:tcPr/>
          <w:p>
            <w:pPr>
              <w:pStyle w:val="Compact"/>
              <w:jc w:val="left"/>
            </w:pPr>
            <w:r>
              <w:t xml:space="preserve">10</w:t>
            </w:r>
          </w:p>
        </w:tc>
        <w:tc>
          <w:tcPr/>
          <w:p>
            <w:pPr>
              <w:pStyle w:val="Compact"/>
              <w:jc w:val="left"/>
            </w:pPr>
            <w:r>
              <w:t xml:space="preserve">5,200.00</w:t>
            </w:r>
          </w:p>
        </w:tc>
      </w:tr>
      <w:tr>
        <w:tc>
          <w:tcPr/>
          <w:p>
            <w:pPr>
              <w:pStyle w:val="Compact"/>
              <w:jc w:val="left"/>
            </w:pPr>
            <w:r>
              <w:t xml:space="preserve">1.10</w:t>
            </w:r>
          </w:p>
        </w:tc>
        <w:tc>
          <w:tcPr/>
          <w:p>
            <w:pPr>
              <w:pStyle w:val="Compact"/>
              <w:jc w:val="left"/>
            </w:pPr>
            <w:r>
              <w:t xml:space="preserve">Insurance and risk management (public liability, professional indemnity – Auckland region)</w:t>
            </w:r>
          </w:p>
        </w:tc>
        <w:tc>
          <w:tcPr/>
          <w:p>
            <w:pPr>
              <w:pStyle w:val="Compact"/>
              <w:jc w:val="left"/>
            </w:pPr>
            <w:r>
              <w:t xml:space="preserve">Year</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gridSpan w:val="5"/>
          </w:tcPr>
          <w:p>
            <w:pPr>
              <w:pStyle w:val="Compact"/>
              <w:jc w:val="left"/>
            </w:pPr>
            <w:r>
              <w:t xml:space="preserve">Subtotal (excl. GST)</w:t>
            </w:r>
          </w:p>
        </w:tc>
        <w:tc>
          <w:tcPr/>
          <w:p>
            <w:pPr>
              <w:pStyle w:val="Compact"/>
              <w:jc w:val="left"/>
            </w:pPr>
            <w:r>
              <w:t xml:space="preserve">106,364.00</w:t>
            </w:r>
          </w:p>
        </w:tc>
      </w:tr>
      <w:tr>
        <w:tc>
          <w:tcPr>
            <w:gridSpan w:val="5"/>
          </w:tcPr>
          <w:p>
            <w:pPr>
              <w:pStyle w:val="Compact"/>
              <w:jc w:val="left"/>
            </w:pPr>
            <w:r>
              <w:t xml:space="preserve">GST (15%)</w:t>
            </w:r>
          </w:p>
        </w:tc>
        <w:tc>
          <w:tcPr/>
          <w:p>
            <w:pPr>
              <w:pStyle w:val="Compact"/>
              <w:jc w:val="left"/>
            </w:pPr>
            <w:r>
              <w:t xml:space="preserve">15,954.60</w:t>
            </w:r>
          </w:p>
        </w:tc>
      </w:tr>
      <w:tr>
        <w:tc>
          <w:tcPr>
            <w:gridSpan w:val="5"/>
          </w:tcPr>
          <w:p>
            <w:pPr>
              <w:pStyle w:val="Compact"/>
              <w:jc w:val="left"/>
            </w:pPr>
            <w:r>
              <w:t xml:space="preserve">TOTAL ESTIMATED COST (incl. GST)</w:t>
            </w:r>
          </w:p>
        </w:tc>
        <w:tc>
          <w:tcPr/>
          <w:p>
            <w:pPr>
              <w:pStyle w:val="Compact"/>
              <w:jc w:val="left"/>
            </w:pPr>
            <w:r>
              <w:t xml:space="preserve">122,318.60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figures are subject to revision based on prevailing market conditions in New Zealand Auckland.</w:t>
      </w:r>
    </w:p>
    <w:p>
      <w:pPr>
        <w:numPr>
          <w:ilvl w:val="0"/>
          <w:numId w:val="1001"/>
        </w:numPr>
        <w:pStyle w:val="Compact"/>
      </w:pPr>
      <w:r>
        <w:t xml:space="preserve">The</w:t>
      </w:r>
      <w:r>
        <w:t xml:space="preserve"> </w:t>
      </w:r>
      <w:r>
        <w:t xml:space="preserve">Teacher Secondary</w:t>
      </w:r>
      <w:r>
        <w:t xml:space="preserve"> </w:t>
      </w:r>
      <w:r>
        <w:t xml:space="preserve">candidate must hold a valid New Zealand Teaching Council (NZTC) registration and a current Working for Workers Check (WFC) clearance prior to commencing duties at the Auckland-based school.</w:t>
      </w:r>
    </w:p>
    <w:p>
      <w:pPr>
        <w:numPr>
          <w:ilvl w:val="0"/>
          <w:numId w:val="1001"/>
        </w:numPr>
        <w:pStyle w:val="Compact"/>
      </w:pPr>
      <w:r>
        <w:t xml:space="preserve">All payments are due within fourteen (14) days of invoice date. Invoices will be issued monthly for salary, superannuation, and administration fees, with a single upfront invoice for recruitment and induction costs.</w:t>
      </w:r>
    </w:p>
    <w:p>
      <w:pPr>
        <w:numPr>
          <w:ilvl w:val="0"/>
          <w:numId w:val="1001"/>
        </w:numPr>
        <w:pStyle w:val="Compact"/>
      </w:pPr>
      <w:r>
        <w:t xml:space="preserve">This</w:t>
      </w:r>
      <w:r>
        <w:t xml:space="preserve"> </w:t>
      </w:r>
      <w:r>
        <w:t xml:space="preserve">Quotation Estimate</w:t>
      </w:r>
      <w:r>
        <w:t xml:space="preserve"> </w:t>
      </w:r>
      <w:r>
        <w:t xml:space="preserve">does not include costs for teaching materials, technology licences, or travel expenses beyond the Auckland metropolitan area unless separately agreed in writing.</w:t>
      </w:r>
    </w:p>
    <w:p>
      <w:pPr>
        <w:numPr>
          <w:ilvl w:val="0"/>
          <w:numId w:val="1001"/>
        </w:numPr>
        <w:pStyle w:val="Compact"/>
      </w:pPr>
      <w:r>
        <w:t xml:space="preserve">Either party may terminate the placement with thirty (30) days written notice. In the event of early termination, a pro-rated adjustment to the</w:t>
      </w:r>
      <w:r>
        <w:t xml:space="preserve"> </w:t>
      </w:r>
      <w:r>
        <w:t xml:space="preserve">Quotation Estimate</w:t>
      </w:r>
      <w:r>
        <w:t xml:space="preserve"> </w:t>
      </w:r>
      <w:r>
        <w:t xml:space="preserve">total will be applied.</w:t>
      </w:r>
    </w:p>
    <w:p>
      <w:pPr>
        <w:numPr>
          <w:ilvl w:val="0"/>
          <w:numId w:val="1001"/>
        </w:numPr>
        <w:pStyle w:val="Compact"/>
      </w:pPr>
      <w:r>
        <w:t xml:space="preserve">The appointed</w:t>
      </w:r>
      <w:r>
        <w:t xml:space="preserve"> </w:t>
      </w:r>
      <w:r>
        <w:t xml:space="preserve">Teacher Secondary</w:t>
      </w:r>
      <w:r>
        <w:t xml:space="preserve"> </w:t>
      </w:r>
      <w:r>
        <w:t xml:space="preserve">will be subject to the school's code of conduct, the Education Act 1989, and all applicable New Zealand employment legislation, including the Employment Relations Act 2000.</w:t>
      </w:r>
    </w:p>
    <w:p>
      <w:pPr>
        <w:numPr>
          <w:ilvl w:val="0"/>
          <w:numId w:val="1001"/>
        </w:numPr>
        <w:pStyle w:val="Compact"/>
      </w:pPr>
      <w:r>
        <w:t xml:space="preserve">All personal information collected during the recruitment process will be handled in accordance with the New Zealand Privacy Act 2020.</w:t>
      </w:r>
    </w:p>
    <w:p>
      <w:pPr>
        <w:numPr>
          <w:ilvl w:val="0"/>
          <w:numId w:val="1001"/>
        </w:numPr>
        <w:pStyle w:val="Compact"/>
      </w:pPr>
      <w:r>
        <w:t xml:space="preserve">This</w:t>
      </w:r>
      <w:r>
        <w:t xml:space="preserve"> </w:t>
      </w:r>
      <w:r>
        <w:t xml:space="preserve">Quotation Estimate</w:t>
      </w:r>
      <w:r>
        <w:t xml:space="preserve"> </w:t>
      </w:r>
      <w:r>
        <w:t xml:space="preserve">is prepared specifically for the New Zealand Auckland region and does not apply to placements in other regions of New Zealand without a separate written amendment.</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placement of a</w:t>
      </w:r>
      <w:r>
        <w:t xml:space="preserve"> </w:t>
      </w:r>
      <w:r>
        <w:t xml:space="preserve">Teacher Secondary</w:t>
      </w:r>
      <w:r>
        <w:t xml:space="preserve"> </w:t>
      </w:r>
      <w:r>
        <w:t xml:space="preserve">in</w:t>
      </w:r>
      <w:r>
        <w:t xml:space="preserve"> </w:t>
      </w:r>
      <w:r>
        <w:t xml:space="preserve">New Zealand Auckland</w:t>
      </w:r>
      <w:r>
        <w:t xml:space="preserve"> </w:t>
      </w:r>
      <w:r>
        <w:t xml:space="preserve">under the terms and conditions outlined above.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Client / School Representative:</w:t>
            </w:r>
            <w:r>
              <w:br/>
            </w:r>
            <w:r>
              <w:br/>
            </w:r>
            <w:r>
              <w:t xml:space="preserve">Name: ______________________________</w:t>
            </w:r>
            <w:r>
              <w:br/>
            </w:r>
            <w:r>
              <w:br/>
            </w:r>
            <w:r>
              <w:t xml:space="preserve">Title: ______________________________</w:t>
            </w:r>
            <w:r>
              <w:br/>
            </w:r>
            <w:r>
              <w:br/>
            </w:r>
          </w:p>
          <w:p>
            <w:pPr>
              <w:pStyle w:val="Compact"/>
              <w:jc w:val="left"/>
            </w:pPr>
            <w:r>
              <w:t xml:space="preserve">Signature</w:t>
            </w:r>
            <w:r>
              <w:br/>
            </w:r>
            <w:r>
              <w:br/>
            </w:r>
            <w:r>
              <w:t xml:space="preserve">Date: ______________________________</w:t>
            </w:r>
          </w:p>
        </w:tc>
        <w:tc>
          <w:tcPr/>
          <w:p>
            <w:pPr>
              <w:pStyle w:val="Compact"/>
              <w:jc w:val="left"/>
            </w:pPr>
            <w:r>
              <w:rPr>
                <w:bCs/>
                <w:b/>
              </w:rPr>
              <w:t xml:space="preserve">Professional Education Staffing Solutions Ltd:</w:t>
            </w:r>
            <w:r>
              <w:br/>
            </w:r>
            <w:r>
              <w:br/>
            </w:r>
            <w:r>
              <w:t xml:space="preserve">Name: ______________________________</w:t>
            </w:r>
            <w:r>
              <w:br/>
            </w:r>
            <w:r>
              <w:br/>
            </w:r>
            <w:r>
              <w:t xml:space="preserve">Title: Director / Account Manager</w:t>
            </w:r>
            <w:r>
              <w:br/>
            </w:r>
            <w:r>
              <w:br/>
            </w:r>
          </w:p>
          <w:p>
            <w:pPr>
              <w:pStyle w:val="Compact"/>
              <w:jc w:val="left"/>
            </w:pPr>
            <w:r>
              <w:t xml:space="preserve">Signature</w:t>
            </w:r>
            <w:r>
              <w:br/>
            </w:r>
            <w:r>
              <w:br/>
            </w:r>
            <w:r>
              <w:t xml:space="preserve">Date: ______________________________</w:t>
            </w:r>
          </w:p>
        </w:tc>
      </w:tr>
    </w:tbl>
    <w:p>
      <w:pPr>
        <w:pStyle w:val="BodyText"/>
      </w:pPr>
      <w:r>
        <w:t xml:space="preserve">Professional Education Staffing Solutions Ltd | Level 4, 125 Queen Street, Auckland CBD, Auckland 1010, New Zealand</w:t>
      </w:r>
    </w:p>
    <w:p>
      <w:pPr>
        <w:pStyle w:val="BodyText"/>
      </w:pPr>
      <w:r>
        <w:t xml:space="preserve">This Quotation Estimate (Ref: QTE-AKL-2025-0487) is the property of Professional Education Staffing Solutions Ltd and is issued for the exclusive use of the named client. Unauthorised reproduction or distribution is prohibited.</w:t>
      </w:r>
    </w:p>
    <w:p>
      <w:pPr>
        <w:pStyle w:val="BodyText"/>
      </w:pPr>
      <w:r>
        <w:t xml:space="preserve">Page 1 of 1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New Zealand Auckland</dc:title>
  <dc:creator/>
  <dc:language>en</dc:language>
  <cp:keywords/>
  <dcterms:created xsi:type="dcterms:W3CDTF">2026-10-10T08:52:19Z</dcterms:created>
  <dcterms:modified xsi:type="dcterms:W3CDTF">2026-10-10T08:52:19Z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