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Teacher</w:t>
      </w:r>
      <w:r>
        <w:t xml:space="preserve"> </w:t>
      </w:r>
      <w:r>
        <w:t xml:space="preserve">Secondary</w:t>
      </w:r>
      <w:r>
        <w:t xml:space="preserve"> </w:t>
      </w:r>
      <w:r>
        <w:t xml:space="preserve">-</w:t>
      </w:r>
      <w:r>
        <w:t xml:space="preserve"> </w:t>
      </w:r>
      <w:r>
        <w:t xml:space="preserve">Turkey</w:t>
      </w:r>
      <w:r>
        <w:t xml:space="preserve"> </w:t>
      </w:r>
      <w:r>
        <w:t xml:space="preserve">Istanbul</w:t>
      </w:r>
    </w:p>
    <w:bookmarkStart w:id="20" w:name="quotation-estimate"/>
    <w:p>
      <w:pPr>
        <w:pStyle w:val="Heading1"/>
      </w:pPr>
      <w:r>
        <w:t xml:space="preserve">QUOTATION ESTIMATE</w:t>
      </w:r>
    </w:p>
    <w:p>
      <w:pPr>
        <w:pStyle w:val="FirstParagraph"/>
      </w:pPr>
      <w:r>
        <w:rPr>
          <w:bCs/>
          <w:b/>
        </w:rPr>
        <w:t xml:space="preserve">Teacher Secondary Recruitment &amp; Placement Services</w:t>
      </w:r>
    </w:p>
    <w:p>
      <w:pPr>
        <w:pStyle w:val="BodyText"/>
      </w:pPr>
      <w:r>
        <w:t xml:space="preserve">Prepared for the Education Sector in Turkey Istanbul</w:t>
      </w:r>
    </w:p>
    <w:p>
      <w:pPr>
        <w:pStyle w:val="BodyText"/>
      </w:pPr>
      <w:r>
        <w:t xml:space="preserve">Document Reference: QE-TS-IST-2025-0472</w:t>
      </w:r>
    </w:p>
    <w:bookmarkEnd w:id="20"/>
    <w:p>
      <w:pPr>
        <w:pStyle w:val="BodyText"/>
      </w:pPr>
      <w:r>
        <w:rPr>
          <w:bCs/>
          <w:b/>
        </w:rPr>
        <w:t xml:space="preserve">Date of Issue:</w:t>
      </w:r>
      <w:r>
        <w:t xml:space="preserve"> </w:t>
      </w:r>
      <w:r>
        <w:t xml:space="preserve">15 June 2025</w:t>
      </w:r>
    </w:p>
    <w:p>
      <w:pPr>
        <w:pStyle w:val="BodyText"/>
      </w:pPr>
      <w:r>
        <w:rPr>
          <w:bCs/>
          <w:b/>
        </w:rPr>
        <w:t xml:space="preserve">Quotation Validity:</w:t>
      </w:r>
      <w:r>
        <w:t xml:space="preserve"> </w:t>
      </w:r>
      <w:r>
        <w:t xml:space="preserve">30 days from issue date</w:t>
      </w:r>
    </w:p>
    <w:p>
      <w:pPr>
        <w:pStyle w:val="BodyText"/>
      </w:pPr>
      <w:r>
        <w:rPr>
          <w:bCs/>
          <w:b/>
        </w:rPr>
        <w:t xml:space="preserve">Prepared By:</w:t>
      </w:r>
      <w:r>
        <w:t xml:space="preserve"> </w:t>
      </w:r>
      <w:r>
        <w:t xml:space="preserve">EduStaff International Ltd.</w:t>
      </w:r>
    </w:p>
    <w:p>
      <w:pPr>
        <w:pStyle w:val="BodyText"/>
      </w:pPr>
      <w:r>
        <w:t xml:space="preserve">1. Client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Client Name:</w:t>
            </w:r>
          </w:p>
        </w:tc>
        <w:tc>
          <w:tcPr/>
          <w:p>
            <w:pPr>
              <w:pStyle w:val="Compact"/>
              <w:jc w:val="left"/>
            </w:pPr>
            <w:r>
              <w:t xml:space="preserve">Istanbul Metropolitan Education Directorate (İBB Eğitim Müdürlüğü)</w:t>
            </w:r>
          </w:p>
        </w:tc>
      </w:tr>
      <w:tr>
        <w:tc>
          <w:tcPr/>
          <w:p>
            <w:pPr>
              <w:pStyle w:val="Compact"/>
              <w:jc w:val="left"/>
            </w:pPr>
            <w:r>
              <w:rPr>
                <w:bCs/>
                <w:b/>
              </w:rPr>
              <w:t xml:space="preserve">Address:</w:t>
            </w:r>
          </w:p>
        </w:tc>
        <w:tc>
          <w:tcPr/>
          <w:p>
            <w:pPr>
              <w:pStyle w:val="Compact"/>
              <w:jc w:val="left"/>
            </w:pPr>
            <w:r>
              <w:t xml:space="preserve">Atatürk Bulvarı No. 42, Beyoğlu, 34430 Istanbul, Turkey</w:t>
            </w:r>
          </w:p>
        </w:tc>
      </w:tr>
      <w:tr>
        <w:tc>
          <w:tcPr/>
          <w:p>
            <w:pPr>
              <w:pStyle w:val="Compact"/>
              <w:jc w:val="left"/>
            </w:pPr>
            <w:r>
              <w:rPr>
                <w:bCs/>
                <w:b/>
              </w:rPr>
              <w:t xml:space="preserve">Contact Person:</w:t>
            </w:r>
          </w:p>
        </w:tc>
        <w:tc>
          <w:tcPr/>
          <w:p>
            <w:pPr>
              <w:pStyle w:val="Compact"/>
              <w:jc w:val="left"/>
            </w:pPr>
            <w:r>
              <w:t xml:space="preserve">Dr. Ayşe Kaya, Director of Human Resources</w:t>
            </w:r>
          </w:p>
        </w:tc>
      </w:tr>
      <w:tr>
        <w:tc>
          <w:tcPr/>
          <w:p>
            <w:pPr>
              <w:pStyle w:val="Compact"/>
              <w:jc w:val="left"/>
            </w:pPr>
            <w:r>
              <w:rPr>
                <w:bCs/>
                <w:b/>
              </w:rPr>
              <w:t xml:space="preserve">Email:</w:t>
            </w:r>
          </w:p>
        </w:tc>
        <w:tc>
          <w:tcPr/>
          <w:p>
            <w:pPr>
              <w:pStyle w:val="Compact"/>
              <w:jc w:val="left"/>
            </w:pPr>
            <w:r>
              <w:t xml:space="preserve">hr@istanbul-edu.gov.tr</w:t>
            </w:r>
          </w:p>
        </w:tc>
      </w:tr>
      <w:tr>
        <w:tc>
          <w:tcPr/>
          <w:p>
            <w:pPr>
              <w:pStyle w:val="Compact"/>
              <w:jc w:val="left"/>
            </w:pPr>
            <w:r>
              <w:rPr>
                <w:bCs/>
                <w:b/>
              </w:rPr>
              <w:t xml:space="preserve">Phone:</w:t>
            </w:r>
          </w:p>
        </w:tc>
        <w:tc>
          <w:tcPr/>
          <w:p>
            <w:pPr>
              <w:pStyle w:val="Compact"/>
              <w:jc w:val="left"/>
            </w:pPr>
            <w:r>
              <w:t xml:space="preserve">+90 212 555 0147</w:t>
            </w:r>
          </w:p>
        </w:tc>
      </w:tr>
    </w:tbl>
    <w:p>
      <w:pPr>
        <w:pStyle w:val="BodyText"/>
      </w:pPr>
      <w:r>
        <w:t xml:space="preserve">2. Scope of Services – Teacher Secondary Positions</w:t>
      </w:r>
    </w:p>
    <w:p>
      <w:pPr>
        <w:pStyle w:val="BodyText"/>
      </w:pPr>
      <w:r>
        <w:t xml:space="preserve">This</w:t>
      </w:r>
      <w:r>
        <w:t xml:space="preserve"> </w:t>
      </w:r>
      <w:r>
        <w:t xml:space="preserve">Quotation Estimate</w:t>
      </w:r>
      <w:r>
        <w:t xml:space="preserve"> </w:t>
      </w:r>
      <w:r>
        <w:t xml:space="preserve">is issued in response to the formal request from the Istanbul Metropolitan Education Directorate for the recruitment, vetting, and placement of qualified</w:t>
      </w:r>
      <w:r>
        <w:t xml:space="preserve"> </w:t>
      </w:r>
      <w:r>
        <w:t xml:space="preserve">Teacher Secondary</w:t>
      </w:r>
      <w:r>
        <w:t xml:space="preserve"> </w:t>
      </w:r>
      <w:r>
        <w:t xml:space="preserve">professionals across public and private secondary schools in the</w:t>
      </w:r>
      <w:r>
        <w:t xml:space="preserve"> </w:t>
      </w:r>
      <w:r>
        <w:t xml:space="preserve">Turkey Istanbul</w:t>
      </w:r>
      <w:r>
        <w:t xml:space="preserve"> </w:t>
      </w:r>
      <w:r>
        <w:t xml:space="preserve">metropolitan region. The services outlined below cover the full lifecycle of the Teacher Secondary hiring process, from initial candidate sourcing through to onboarding and a 90-day post-placement support period.</w:t>
      </w:r>
    </w:p>
    <w:p>
      <w:pPr>
        <w:pStyle w:val="BodyText"/>
      </w:pPr>
      <w:r>
        <w:t xml:space="preserve">The scope encompasses the recruitment of Teacher Secondary candidates for the following subject areas: Mathematics, Physics, Chemistry, Biology, Turkish Language and Literature, Social Studies, English, and Physical Education. All Teacher Secondary candidates must hold a minimum of a Bachelor's degree in their respective discipline from an accredited institution recognized by the Council of Higher Education (YÖK) in Turkey, or an equivalent foreign qualification validated by the relevant Turkish authority.</w:t>
      </w:r>
    </w:p>
    <w:p>
      <w:pPr>
        <w:pStyle w:val="BodyText"/>
      </w:pPr>
      <w:r>
        <w:t xml:space="preserve">3.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 Price (EUR)</w:t>
            </w:r>
          </w:p>
        </w:tc>
        <w:tc>
          <w:tcPr/>
          <w:p>
            <w:pPr>
              <w:pStyle w:val="Compact"/>
              <w:jc w:val="left"/>
            </w:pPr>
            <w:r>
              <w:t xml:space="preserve">Total (EUR)</w:t>
            </w:r>
          </w:p>
        </w:tc>
      </w:tr>
      <w:tr>
        <w:tc>
          <w:tcPr/>
          <w:p>
            <w:pPr>
              <w:pStyle w:val="Compact"/>
              <w:jc w:val="left"/>
            </w:pPr>
            <w:r>
              <w:t xml:space="preserve">01</w:t>
            </w:r>
          </w:p>
        </w:tc>
        <w:tc>
          <w:tcPr/>
          <w:p>
            <w:pPr>
              <w:pStyle w:val="Compact"/>
              <w:jc w:val="left"/>
            </w:pPr>
            <w:r>
              <w:t xml:space="preserve">Initial needs assessment and job specification development for Teacher Secondary roles across 12 secondary schools in Istanbul (European side)</w:t>
            </w:r>
          </w:p>
        </w:tc>
        <w:tc>
          <w:tcPr/>
          <w:p>
            <w:pPr>
              <w:pStyle w:val="Compact"/>
              <w:jc w:val="left"/>
            </w:pPr>
            <w:r>
              <w:t xml:space="preserve">12</w:t>
            </w:r>
          </w:p>
        </w:tc>
        <w:tc>
          <w:tcPr/>
          <w:p>
            <w:pPr>
              <w:pStyle w:val="Compact"/>
              <w:jc w:val="left"/>
            </w:pPr>
            <w:r>
              <w:t xml:space="preserve">450.00</w:t>
            </w:r>
          </w:p>
        </w:tc>
        <w:tc>
          <w:tcPr/>
          <w:p>
            <w:pPr>
              <w:pStyle w:val="Compact"/>
              <w:jc w:val="left"/>
            </w:pPr>
            <w:r>
              <w:t xml:space="preserve">5,400.00</w:t>
            </w:r>
          </w:p>
        </w:tc>
      </w:tr>
      <w:tr>
        <w:tc>
          <w:tcPr/>
          <w:p>
            <w:pPr>
              <w:pStyle w:val="Compact"/>
              <w:jc w:val="left"/>
            </w:pPr>
            <w:r>
              <w:t xml:space="preserve">02</w:t>
            </w:r>
          </w:p>
        </w:tc>
        <w:tc>
          <w:tcPr/>
          <w:p>
            <w:pPr>
              <w:pStyle w:val="Compact"/>
              <w:jc w:val="left"/>
            </w:pPr>
            <w:r>
              <w:t xml:space="preserve">Advertising and candidate sourcing for Teacher Secondary positions via Turkish and international education job portals, university career centers, and professional networks</w:t>
            </w:r>
          </w:p>
        </w:tc>
        <w:tc>
          <w:tcPr/>
          <w:p>
            <w:pPr>
              <w:pStyle w:val="Compact"/>
              <w:jc w:val="left"/>
            </w:pPr>
            <w:r>
              <w:t xml:space="preserve">1</w:t>
            </w:r>
          </w:p>
        </w:tc>
        <w:tc>
          <w:tcPr/>
          <w:p>
            <w:pPr>
              <w:pStyle w:val="Compact"/>
              <w:jc w:val="left"/>
            </w:pPr>
            <w:r>
              <w:t xml:space="preserve">3,200.00</w:t>
            </w:r>
          </w:p>
        </w:tc>
        <w:tc>
          <w:tcPr/>
          <w:p>
            <w:pPr>
              <w:pStyle w:val="Compact"/>
              <w:jc w:val="left"/>
            </w:pPr>
            <w:r>
              <w:t xml:space="preserve">3,200.00</w:t>
            </w:r>
          </w:p>
        </w:tc>
      </w:tr>
      <w:tr>
        <w:tc>
          <w:tcPr/>
          <w:p>
            <w:pPr>
              <w:pStyle w:val="Compact"/>
              <w:jc w:val="left"/>
            </w:pPr>
            <w:r>
              <w:t xml:space="preserve">03</w:t>
            </w:r>
          </w:p>
        </w:tc>
        <w:tc>
          <w:tcPr/>
          <w:p>
            <w:pPr>
              <w:pStyle w:val="Compact"/>
              <w:jc w:val="left"/>
            </w:pPr>
            <w:r>
              <w:t xml:space="preserve">CV screening, initial telephone interviews, and shortlisting of Teacher Secondary candidates (minimum 5 candidates per position)</w:t>
            </w:r>
          </w:p>
        </w:tc>
        <w:tc>
          <w:tcPr/>
          <w:p>
            <w:pPr>
              <w:pStyle w:val="Compact"/>
              <w:jc w:val="left"/>
            </w:pPr>
            <w:r>
              <w:t xml:space="preserve">24</w:t>
            </w:r>
          </w:p>
        </w:tc>
        <w:tc>
          <w:tcPr/>
          <w:p>
            <w:pPr>
              <w:pStyle w:val="Compact"/>
              <w:jc w:val="left"/>
            </w:pPr>
            <w:r>
              <w:t xml:space="preserve">180.00</w:t>
            </w:r>
          </w:p>
        </w:tc>
        <w:tc>
          <w:tcPr/>
          <w:p>
            <w:pPr>
              <w:pStyle w:val="Compact"/>
              <w:jc w:val="left"/>
            </w:pPr>
            <w:r>
              <w:t xml:space="preserve">4,320.00</w:t>
            </w:r>
          </w:p>
        </w:tc>
      </w:tr>
      <w:tr>
        <w:tc>
          <w:tcPr/>
          <w:p>
            <w:pPr>
              <w:pStyle w:val="Compact"/>
              <w:jc w:val="left"/>
            </w:pPr>
            <w:r>
              <w:t xml:space="preserve">04</w:t>
            </w:r>
          </w:p>
        </w:tc>
        <w:tc>
          <w:tcPr/>
          <w:p>
            <w:pPr>
              <w:pStyle w:val="Compact"/>
              <w:jc w:val="left"/>
            </w:pPr>
            <w:r>
              <w:t xml:space="preserve">Conducting structured in-person interviews and teaching demonstration assessments for Teacher Secondary finalists at the Istanbul assessment center (Beyoğlu)</w:t>
            </w:r>
          </w:p>
        </w:tc>
        <w:tc>
          <w:tcPr/>
          <w:p>
            <w:pPr>
              <w:pStyle w:val="Compact"/>
              <w:jc w:val="left"/>
            </w:pPr>
            <w:r>
              <w:t xml:space="preserve">24</w:t>
            </w:r>
          </w:p>
        </w:tc>
        <w:tc>
          <w:tcPr/>
          <w:p>
            <w:pPr>
              <w:pStyle w:val="Compact"/>
              <w:jc w:val="left"/>
            </w:pPr>
            <w:r>
              <w:t xml:space="preserve">350.00</w:t>
            </w:r>
          </w:p>
        </w:tc>
        <w:tc>
          <w:tcPr/>
          <w:p>
            <w:pPr>
              <w:pStyle w:val="Compact"/>
              <w:jc w:val="left"/>
            </w:pPr>
            <w:r>
              <w:t xml:space="preserve">8,400.00</w:t>
            </w:r>
          </w:p>
        </w:tc>
      </w:tr>
      <w:tr>
        <w:tc>
          <w:tcPr/>
          <w:p>
            <w:pPr>
              <w:pStyle w:val="Compact"/>
              <w:jc w:val="left"/>
            </w:pPr>
            <w:r>
              <w:t xml:space="preserve">05</w:t>
            </w:r>
          </w:p>
        </w:tc>
        <w:tc>
          <w:tcPr/>
          <w:p>
            <w:pPr>
              <w:pStyle w:val="Compact"/>
              <w:jc w:val="left"/>
            </w:pPr>
            <w:r>
              <w:t xml:space="preserve">Background verification, reference checks, and YÖK credential validation for all Teacher Secondary candidates</w:t>
            </w:r>
          </w:p>
        </w:tc>
        <w:tc>
          <w:tcPr/>
          <w:p>
            <w:pPr>
              <w:pStyle w:val="Compact"/>
              <w:jc w:val="left"/>
            </w:pPr>
            <w:r>
              <w:t xml:space="preserve">24</w:t>
            </w:r>
          </w:p>
        </w:tc>
        <w:tc>
          <w:tcPr/>
          <w:p>
            <w:pPr>
              <w:pStyle w:val="Compact"/>
              <w:jc w:val="left"/>
            </w:pPr>
            <w:r>
              <w:t xml:space="preserve">220.00</w:t>
            </w:r>
          </w:p>
        </w:tc>
        <w:tc>
          <w:tcPr/>
          <w:p>
            <w:pPr>
              <w:pStyle w:val="Compact"/>
              <w:jc w:val="left"/>
            </w:pPr>
            <w:r>
              <w:t xml:space="preserve">5,280.00</w:t>
            </w:r>
          </w:p>
        </w:tc>
      </w:tr>
      <w:tr>
        <w:tc>
          <w:tcPr/>
          <w:p>
            <w:pPr>
              <w:pStyle w:val="Compact"/>
              <w:jc w:val="left"/>
            </w:pPr>
            <w:r>
              <w:t xml:space="preserve">06</w:t>
            </w:r>
          </w:p>
        </w:tc>
        <w:tc>
          <w:tcPr/>
          <w:p>
            <w:pPr>
              <w:pStyle w:val="Compact"/>
              <w:jc w:val="left"/>
            </w:pPr>
            <w:r>
              <w:t xml:space="preserve">Administrative onboarding support: work permit coordination, social security registration (SGK), and contract preparation for Teacher Secondary hires in Turkey Istanbul</w:t>
            </w:r>
          </w:p>
        </w:tc>
        <w:tc>
          <w:tcPr/>
          <w:p>
            <w:pPr>
              <w:pStyle w:val="Compact"/>
              <w:jc w:val="left"/>
            </w:pPr>
            <w:r>
              <w:t xml:space="preserve">24</w:t>
            </w:r>
          </w:p>
        </w:tc>
        <w:tc>
          <w:tcPr/>
          <w:p>
            <w:pPr>
              <w:pStyle w:val="Compact"/>
              <w:jc w:val="left"/>
            </w:pPr>
            <w:r>
              <w:t xml:space="preserve">280.00</w:t>
            </w:r>
          </w:p>
        </w:tc>
        <w:tc>
          <w:tcPr/>
          <w:p>
            <w:pPr>
              <w:pStyle w:val="Compact"/>
              <w:jc w:val="left"/>
            </w:pPr>
            <w:r>
              <w:t xml:space="preserve">6,720.00</w:t>
            </w:r>
          </w:p>
        </w:tc>
      </w:tr>
      <w:tr>
        <w:tc>
          <w:tcPr/>
          <w:p>
            <w:pPr>
              <w:pStyle w:val="Compact"/>
              <w:jc w:val="left"/>
            </w:pPr>
            <w:r>
              <w:t xml:space="preserve">07</w:t>
            </w:r>
          </w:p>
        </w:tc>
        <w:tc>
          <w:tcPr/>
          <w:p>
            <w:pPr>
              <w:pStyle w:val="Compact"/>
              <w:jc w:val="left"/>
            </w:pPr>
            <w:r>
              <w:t xml:space="preserve">90-day post-placement monitoring, performance check-ins, and replacement guarantee for Teacher Secondary positions</w:t>
            </w:r>
          </w:p>
        </w:tc>
        <w:tc>
          <w:tcPr/>
          <w:p>
            <w:pPr>
              <w:pStyle w:val="Compact"/>
              <w:jc w:val="left"/>
            </w:pPr>
            <w:r>
              <w:t xml:space="preserve">24</w:t>
            </w:r>
          </w:p>
        </w:tc>
        <w:tc>
          <w:tcPr/>
          <w:p>
            <w:pPr>
              <w:pStyle w:val="Compact"/>
              <w:jc w:val="left"/>
            </w:pPr>
            <w:r>
              <w:t xml:space="preserve">150.00</w:t>
            </w:r>
          </w:p>
        </w:tc>
        <w:tc>
          <w:tcPr/>
          <w:p>
            <w:pPr>
              <w:pStyle w:val="Compact"/>
              <w:jc w:val="left"/>
            </w:pPr>
            <w:r>
              <w:t xml:space="preserve">3,600.00</w:t>
            </w:r>
          </w:p>
        </w:tc>
      </w:tr>
      <w:tr>
        <w:tc>
          <w:tcPr/>
          <w:p>
            <w:pPr>
              <w:pStyle w:val="Compact"/>
              <w:jc w:val="left"/>
            </w:pPr>
            <w:r>
              <w:t xml:space="preserve">08</w:t>
            </w:r>
          </w:p>
        </w:tc>
        <w:tc>
          <w:tcPr/>
          <w:p>
            <w:pPr>
              <w:pStyle w:val="Compact"/>
              <w:jc w:val="left"/>
            </w:pPr>
            <w:r>
              <w:t xml:space="preserve">Project management, reporting, and dedicated account management for the entire Teacher Secondary recruitment cycle in Turkey Istanbul</w:t>
            </w:r>
          </w:p>
        </w:tc>
        <w:tc>
          <w:tcPr/>
          <w:p>
            <w:pPr>
              <w:pStyle w:val="Compact"/>
              <w:jc w:val="left"/>
            </w:pPr>
            <w:r>
              <w:t xml:space="preserve">1</w:t>
            </w:r>
          </w:p>
        </w:tc>
        <w:tc>
          <w:tcPr/>
          <w:p>
            <w:pPr>
              <w:pStyle w:val="Compact"/>
              <w:jc w:val="left"/>
            </w:pPr>
            <w:r>
              <w:t xml:space="preserve">4,500.00</w:t>
            </w:r>
          </w:p>
        </w:tc>
        <w:tc>
          <w:tcPr/>
          <w:p>
            <w:pPr>
              <w:pStyle w:val="Compact"/>
              <w:jc w:val="left"/>
            </w:pPr>
            <w:r>
              <w:t xml:space="preserve">4,500.00</w:t>
            </w:r>
          </w:p>
        </w:tc>
      </w:tr>
      <w:tr>
        <w:tc>
          <w:tcPr>
            <w:gridSpan w:val="4"/>
          </w:tcPr>
          <w:p>
            <w:pPr>
              <w:pStyle w:val="Compact"/>
              <w:jc w:val="right"/>
            </w:pPr>
            <w:r>
              <w:t xml:space="preserve">SUBTOTAL</w:t>
            </w:r>
          </w:p>
        </w:tc>
        <w:tc>
          <w:tcPr/>
          <w:p>
            <w:pPr>
              <w:pStyle w:val="Compact"/>
              <w:jc w:val="left"/>
            </w:pPr>
            <w:r>
              <w:t xml:space="preserve">41,420.00</w:t>
            </w:r>
          </w:p>
        </w:tc>
      </w:tr>
      <w:tr>
        <w:tc>
          <w:tcPr>
            <w:gridSpan w:val="4"/>
          </w:tcPr>
          <w:p>
            <w:pPr>
              <w:pStyle w:val="Compact"/>
              <w:jc w:val="right"/>
            </w:pPr>
            <w:r>
              <w:t xml:space="preserve">VAT (20% – Turkey)</w:t>
            </w:r>
          </w:p>
        </w:tc>
        <w:tc>
          <w:tcPr/>
          <w:p>
            <w:pPr>
              <w:pStyle w:val="Compact"/>
              <w:jc w:val="left"/>
            </w:pPr>
            <w:r>
              <w:t xml:space="preserve">8,284.00</w:t>
            </w:r>
          </w:p>
        </w:tc>
      </w:tr>
      <w:tr>
        <w:tc>
          <w:tcPr>
            <w:gridSpan w:val="4"/>
          </w:tcPr>
          <w:p>
            <w:pPr>
              <w:pStyle w:val="Compact"/>
              <w:jc w:val="right"/>
            </w:pPr>
            <w:r>
              <w:t xml:space="preserve">GRAND TOTAL</w:t>
            </w:r>
          </w:p>
        </w:tc>
        <w:tc>
          <w:tcPr/>
          <w:p>
            <w:pPr>
              <w:pStyle w:val="Compact"/>
              <w:jc w:val="left"/>
            </w:pPr>
            <w:r>
              <w:t xml:space="preserve">49,704.00</w:t>
            </w:r>
          </w:p>
        </w:tc>
      </w:tr>
    </w:tbl>
    <w:p>
      <w:pPr>
        <w:pStyle w:val="BodyText"/>
      </w:pPr>
      <w:r>
        <w:t xml:space="preserve">4. Terms and Conditions</w:t>
      </w:r>
    </w:p>
    <w:p>
      <w:pPr>
        <w:numPr>
          <w:ilvl w:val="0"/>
          <w:numId w:val="1001"/>
        </w:numPr>
        <w:pStyle w:val="Compact"/>
      </w:pPr>
      <w:r>
        <w:rPr>
          <w:bCs/>
          <w:b/>
        </w:rPr>
        <w:t xml:space="preserve">Validity:</w:t>
      </w:r>
      <w:r>
        <w:t xml:space="preserve"> </w:t>
      </w:r>
      <w:r>
        <w:t xml:space="preserve">This Quotation Estimate is valid for thirty (30) calendar days from the date of issue. After this period, pricing may be subject to revision due to market fluctuations in the Turkey Istanbul education recruitment sector.</w:t>
      </w:r>
    </w:p>
    <w:p>
      <w:pPr>
        <w:numPr>
          <w:ilvl w:val="0"/>
          <w:numId w:val="1001"/>
        </w:numPr>
        <w:pStyle w:val="Compact"/>
      </w:pPr>
      <w:r>
        <w:rPr>
          <w:bCs/>
          <w:b/>
        </w:rPr>
        <w:t xml:space="preserve">Payment Terms:</w:t>
      </w:r>
      <w:r>
        <w:t xml:space="preserve"> </w:t>
      </w:r>
      <w:r>
        <w:t xml:space="preserve">40% advance payment upon acceptance of this Quotation Estimate; 40% upon completion of all Teacher Secondary interviews and shortlisting; 20% upon successful onboarding of all Teacher Secondary candidates in Turkey Istanbul.</w:t>
      </w:r>
    </w:p>
    <w:p>
      <w:pPr>
        <w:numPr>
          <w:ilvl w:val="0"/>
          <w:numId w:val="1001"/>
        </w:numPr>
        <w:pStyle w:val="Compact"/>
      </w:pPr>
      <w:r>
        <w:rPr>
          <w:bCs/>
          <w:b/>
        </w:rPr>
        <w:t xml:space="preserve">Replacement Guarantee:</w:t>
      </w:r>
      <w:r>
        <w:t xml:space="preserve"> </w:t>
      </w:r>
      <w:r>
        <w:t xml:space="preserve">Should any Teacher Secondary candidate resign or be terminated within the first 90 days of employment, EduStaff International Ltd. shall provide a replacement at no additional cost, subject to the same screening and assessment protocols.</w:t>
      </w:r>
    </w:p>
    <w:p>
      <w:pPr>
        <w:numPr>
          <w:ilvl w:val="0"/>
          <w:numId w:val="1001"/>
        </w:numPr>
        <w:pStyle w:val="Compact"/>
      </w:pPr>
      <w:r>
        <w:rPr>
          <w:bCs/>
          <w:b/>
        </w:rPr>
        <w:t xml:space="preserve">Confidentiality:</w:t>
      </w:r>
      <w:r>
        <w:t xml:space="preserve"> </w:t>
      </w:r>
      <w:r>
        <w:t xml:space="preserve">All candidate data, school information, and internal communications related to this Teacher Secondary recruitment project in Turkey Istanbul shall be treated as strictly confidential in accordance with Turkey's Personal Data Protection Law (KVKK – Law No. 6698).</w:t>
      </w:r>
    </w:p>
    <w:p>
      <w:pPr>
        <w:numPr>
          <w:ilvl w:val="0"/>
          <w:numId w:val="1001"/>
        </w:numPr>
        <w:pStyle w:val="Compact"/>
      </w:pPr>
      <w:r>
        <w:rPr>
          <w:bCs/>
          <w:b/>
        </w:rPr>
        <w:t xml:space="preserve">Compliance:</w:t>
      </w:r>
      <w:r>
        <w:t xml:space="preserve"> </w:t>
      </w:r>
      <w:r>
        <w:t xml:space="preserve">All Teacher Secondary recruitment activities shall comply with the Turkish Ministry of National Education (MEB) regulations, the Turkish Labor Law (Law No. 4857), and applicable Istanbul municipal education directives.</w:t>
      </w:r>
    </w:p>
    <w:p>
      <w:pPr>
        <w:numPr>
          <w:ilvl w:val="0"/>
          <w:numId w:val="1001"/>
        </w:numPr>
        <w:pStyle w:val="Compact"/>
      </w:pPr>
      <w:r>
        <w:rPr>
          <w:bCs/>
          <w:b/>
        </w:rPr>
        <w:t xml:space="preserve">Force Majeure:</w:t>
      </w:r>
      <w:r>
        <w:t xml:space="preserve"> </w:t>
      </w:r>
      <w:r>
        <w:t xml:space="preserve">Neither party shall be held liable for delays or non-performance resulting from events beyond reasonable control, including but not limited to natural disasters, government-mandated school closures in Turkey Istanbul, or public health emergencies.</w:t>
      </w:r>
    </w:p>
    <w:p>
      <w:pPr>
        <w:numPr>
          <w:ilvl w:val="0"/>
          <w:numId w:val="1001"/>
        </w:numPr>
        <w:pStyle w:val="Compact"/>
      </w:pPr>
      <w:r>
        <w:rPr>
          <w:bCs/>
          <w:b/>
        </w:rPr>
        <w:t xml:space="preserve">Governing Law:</w:t>
      </w:r>
      <w:r>
        <w:t xml:space="preserve"> </w:t>
      </w:r>
      <w:r>
        <w:t xml:space="preserve">This Quotation Estimate and any resulting contract shall be governed by and interpreted in accordance with the laws of the Republic of Turkey. Disputes shall be resolved by the competent courts in Istanbul, Turkey.</w:t>
      </w:r>
    </w:p>
    <w:p>
      <w:pPr>
        <w:pStyle w:val="FirstParagraph"/>
      </w:pPr>
      <w:r>
        <w:t xml:space="preserve">5. Acceptance and Authorization</w:t>
      </w:r>
    </w:p>
    <w:p>
      <w:pPr>
        <w:pStyle w:val="BodyText"/>
      </w:pPr>
      <w:r>
        <w:t xml:space="preserve">By signing below, the client acknowledges and accepts the terms, conditions, and pricing outlined in this Quotation Estimate for the Teacher Secondary recruitment and placement services to be delivered in Turkey Istanbul. This document, once countersigned by both parties, shall constitute a binding service agreement.</w:t>
      </w:r>
    </w:p>
    <w:p>
      <w:pPr>
        <w:pStyle w:val="BodyText"/>
      </w:pPr>
      <w:r>
        <w:rPr>
          <w:bCs/>
          <w:b/>
        </w:rPr>
        <w:t xml:space="preserve">For EduStaff International Ltd.</w:t>
      </w:r>
      <w:r>
        <w:br/>
      </w:r>
      <w:r>
        <w:t xml:space="preserve">Name: Marcus Thompson</w:t>
      </w:r>
      <w:r>
        <w:br/>
      </w:r>
      <w:r>
        <w:t xml:space="preserve">Title: Director of Education Recruitment</w:t>
      </w:r>
      <w:r>
        <w:br/>
      </w:r>
      <w:r>
        <w:t xml:space="preserve">Date: _______________</w:t>
      </w:r>
    </w:p>
    <w:p>
      <w:pPr>
        <w:pStyle w:val="BodyText"/>
      </w:pPr>
      <w:r>
        <w:rPr>
          <w:bCs/>
          <w:b/>
        </w:rPr>
        <w:t xml:space="preserve">For Istanbul Metropolitan Education Directorate</w:t>
      </w:r>
      <w:r>
        <w:br/>
      </w:r>
      <w:r>
        <w:t xml:space="preserve">Name: Dr. Ayşe Kaya</w:t>
      </w:r>
      <w:r>
        <w:br/>
      </w:r>
      <w:r>
        <w:t xml:space="preserve">Title: Director of Human Resources</w:t>
      </w:r>
      <w:r>
        <w:br/>
      </w:r>
      <w:r>
        <w:t xml:space="preserve">Date: _______________</w:t>
      </w:r>
    </w:p>
    <w:p>
      <w:pPr>
        <w:pStyle w:val="BodyText"/>
      </w:pPr>
      <w:r>
        <w:t xml:space="preserve">EduStaff International Ltd. | Registered Office: 12 Levent Avenue, 34330 Beşiktaş, Istanbul, Turkey | Tax ID: 1234567890</w:t>
      </w:r>
    </w:p>
    <w:p>
      <w:pPr>
        <w:pStyle w:val="BodyText"/>
      </w:pPr>
      <w:r>
        <w:t xml:space="preserve">This Quotation Estimate is the property of EduStaff International Ltd. and is intended solely for the named client. Unauthorized reproduction or distribution is prohibited.</w:t>
      </w:r>
    </w:p>
    <w:p>
      <w:pPr>
        <w:pStyle w:val="BodyText"/>
      </w:pPr>
      <w:r>
        <w:t xml:space="preserve">Page 1 of 1 | Document QE-TS-IST-2025-0472</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Teacher Secondary - Turkey Istanbul</dc:title>
  <dc:creator/>
  <dc:language>en</dc:language>
  <cp:keywords/>
  <dcterms:created xsi:type="dcterms:W3CDTF">2026-10-10T00:37:50Z</dcterms:created>
  <dcterms:modified xsi:type="dcterms:W3CDTF">2026-10-10T00:37:50Z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