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X4f06590c446473b73912d4b476d9b8166a5142b"/>
    <w:p>
      <w:pPr>
        <w:pStyle w:val="Heading1"/>
      </w:pPr>
      <w:r>
        <w:t xml:space="preserve">Guangzhou Telecommunications Solutions Co., Ltd.</w:t>
      </w:r>
    </w:p>
    <w:p>
      <w:pPr>
        <w:pStyle w:val="FirstParagraph"/>
      </w:pPr>
      <w:r>
        <w:t xml:space="preserve">Building 12, Tianhe Science City, Tianhe District, Guangzhou, Guangdong Province, China 510663</w:t>
      </w:r>
    </w:p>
    <w:p>
      <w:pPr>
        <w:pStyle w:val="BodyText"/>
      </w:pPr>
      <w:r>
        <w:t xml:space="preserve">Tel: +86-20-8888-6600 | Email: estimates@gztelecom-solutions.cn | Unified Social Credit Code: 91440101MA5C8X2K7P</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QTE-GZ-2025-0742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Project Location</w:t>
            </w:r>
          </w:p>
        </w:tc>
        <w:tc>
          <w:tcPr>
            <w:gridSpan w:val="3"/>
          </w:tcPr>
          <w:p>
            <w:pPr>
              <w:pStyle w:val="Compact"/>
              <w:jc w:val="left"/>
            </w:pPr>
            <w:r>
              <w:t xml:space="preserve">China Guangzhou – Multiple Districts (Tianhe, Yuexiu, Haizhu, Baiyun)</w:t>
            </w:r>
          </w:p>
        </w:tc>
      </w:tr>
    </w:tbl>
    <w:bookmarkStart w:id="21" w:name="prepared-for-client"/>
    <w:p>
      <w:pPr>
        <w:pStyle w:val="Heading3"/>
      </w:pPr>
      <w:r>
        <w:t xml:space="preserve">Prepared For (Client)</w:t>
      </w:r>
    </w:p>
    <w:p>
      <w:pPr>
        <w:pStyle w:val="FirstParagraph"/>
      </w:pPr>
      <w:r>
        <w:rPr>
          <w:bCs/>
          <w:b/>
        </w:rPr>
        <w:t xml:space="preserve">Guangzhou Municipal Urban Infrastructure Development Bureau</w:t>
      </w:r>
    </w:p>
    <w:p>
      <w:pPr>
        <w:pStyle w:val="BodyText"/>
      </w:pPr>
      <w:r>
        <w:t xml:space="preserve">Address: No. 338, Huanshi Middle Road, Yuexiu District, Guangzhou, China</w:t>
      </w:r>
    </w:p>
    <w:p>
      <w:pPr>
        <w:pStyle w:val="BodyText"/>
      </w:pPr>
      <w:r>
        <w:t xml:space="preserve">Attn: Director Wang Jianming</w:t>
      </w:r>
    </w:p>
    <w:p>
      <w:pPr>
        <w:pStyle w:val="BodyText"/>
      </w:pPr>
      <w:r>
        <w:t xml:space="preserve">Contact: +86-20-3888-1200</w:t>
      </w:r>
    </w:p>
    <w:bookmarkEnd w:id="21"/>
    <w:bookmarkStart w:id="22" w:name="prepared-by-supplier"/>
    <w:p>
      <w:pPr>
        <w:pStyle w:val="Heading3"/>
      </w:pPr>
      <w:r>
        <w:t xml:space="preserve">Prepared By (Supplier)</w:t>
      </w:r>
    </w:p>
    <w:p>
      <w:pPr>
        <w:pStyle w:val="FirstParagraph"/>
      </w:pPr>
      <w:r>
        <w:rPr>
          <w:bCs/>
          <w:b/>
        </w:rPr>
        <w:t xml:space="preserve">Guangzhou Telecommunications Solutions Co., Ltd.</w:t>
      </w:r>
    </w:p>
    <w:p>
      <w:pPr>
        <w:pStyle w:val="BodyText"/>
      </w:pPr>
      <w:r>
        <w:t xml:space="preserve">Address: Building 12, Tianhe Science City, Tianhe District, Guangzhou, China</w:t>
      </w:r>
    </w:p>
    <w:p>
      <w:pPr>
        <w:pStyle w:val="BodyText"/>
      </w:pPr>
      <w:r>
        <w:t xml:space="preserve">Attn: Chief Engineer Li Xiaofeng</w:t>
      </w:r>
    </w:p>
    <w:p>
      <w:pPr>
        <w:pStyle w:val="BodyText"/>
      </w:pPr>
      <w:r>
        <w:t xml:space="preserve">Contact: +86-20-8888-6600</w:t>
      </w:r>
    </w:p>
    <w:bookmarkEnd w:id="22"/>
    <w:p>
      <w:pPr>
        <w:pStyle w:val="BodyText"/>
      </w:pPr>
      <w:r>
        <w:t xml:space="preserve">1. Scope of Work – Telecommunication Engineer Services in China Guangzhou</w:t>
      </w:r>
    </w:p>
    <w:p>
      <w:pPr>
        <w:pStyle w:val="BodyText"/>
      </w:pPr>
      <w:r>
        <w:t xml:space="preserve">This Quotation Estimate is issued by Guangzhou Telecommunications Solutions Co., Ltd. to provide comprehensive professional services rendered by a certified</w:t>
      </w:r>
      <w:r>
        <w:t xml:space="preserve"> </w:t>
      </w:r>
      <w:r>
        <w:rPr>
          <w:bCs/>
          <w:b/>
        </w:rPr>
        <w:t xml:space="preserve">Telecommunication Engineer</w:t>
      </w:r>
      <w:r>
        <w:t xml:space="preserve"> </w:t>
      </w:r>
      <w:r>
        <w:t xml:space="preserve">for the design, deployment, testing, and commissioning of next-generation broadband and 5G infrastructure across the urban districts of</w:t>
      </w:r>
      <w:r>
        <w:t xml:space="preserve"> </w:t>
      </w:r>
      <w:r>
        <w:rPr>
          <w:bCs/>
          <w:b/>
        </w:rPr>
        <w:t xml:space="preserve">China Guangzhou</w:t>
      </w:r>
      <w:r>
        <w:t xml:space="preserve">. The Telecommunication Engineer assigned to this project shall hold a valid PRC Telecommunications Professional Qualification Certificate (Grade 1) and a minimum of eight (8) years of hands-on experience in fiber-optic network architecture, microwave backhaul systems, and 5G small-cell deployment within the Greater Guangzhou metropolitan area.</w:t>
      </w:r>
    </w:p>
    <w:p>
      <w:pPr>
        <w:pStyle w:val="BodyText"/>
      </w:pPr>
      <w:r>
        <w:t xml:space="preserve">The scope encompasses the following deliverables to be executed within the administrative boundaries of China Guangzhou:</w:t>
      </w:r>
    </w:p>
    <w:p>
      <w:pPr>
        <w:numPr>
          <w:ilvl w:val="0"/>
          <w:numId w:val="1001"/>
        </w:numPr>
        <w:pStyle w:val="Compact"/>
      </w:pPr>
      <w:r>
        <w:t xml:space="preserve">Site survey and RF propagation analysis for 42 designated 5G macro-cell locations across Tianhe, Yuexiu, Haizhu, and Baiyun districts.</w:t>
      </w:r>
    </w:p>
    <w:p>
      <w:pPr>
        <w:numPr>
          <w:ilvl w:val="0"/>
          <w:numId w:val="1001"/>
        </w:numPr>
        <w:pStyle w:val="Compact"/>
      </w:pPr>
      <w:r>
        <w:t xml:space="preserve">Design and engineering documentation for a 120-kilometer single-mode fiber-optic backbone network connecting municipal data centers in China Guangzhou.</w:t>
      </w:r>
    </w:p>
    <w:p>
      <w:pPr>
        <w:numPr>
          <w:ilvl w:val="0"/>
          <w:numId w:val="1001"/>
        </w:numPr>
        <w:pStyle w:val="Compact"/>
      </w:pPr>
      <w:r>
        <w:t xml:space="preserve">Supervision of civil works, ducting installation, and cable laying for the Telecommunication Engineer's approved design specifications.</w:t>
      </w:r>
    </w:p>
    <w:p>
      <w:pPr>
        <w:numPr>
          <w:ilvl w:val="0"/>
          <w:numId w:val="1001"/>
        </w:numPr>
        <w:pStyle w:val="Compact"/>
      </w:pPr>
      <w:r>
        <w:t xml:space="preserve">Commissioning, load testing, and performance validation of all installed telecommunication equipment in accordance with MIIT (Ministry of Industry and Information Technology) standards.</w:t>
      </w:r>
    </w:p>
    <w:p>
      <w:pPr>
        <w:numPr>
          <w:ilvl w:val="0"/>
          <w:numId w:val="1001"/>
        </w:numPr>
        <w:pStyle w:val="Compact"/>
      </w:pPr>
      <w:r>
        <w:t xml:space="preserve">Preparation of as-built drawings, O&amp;M manuals, and a 12-month warranty support plan for the completed infrastructure in China Guangzhou.</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(CNY)</w:t>
            </w:r>
          </w:p>
        </w:tc>
        <w:tc>
          <w:tcPr/>
          <w:p>
            <w:pPr>
              <w:pStyle w:val="Compact"/>
              <w:jc w:val="left"/>
            </w:pPr>
            <w:r>
              <w:t xml:space="preserve">Amount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Telecommunication Engineer – Senior (Grade 1) – Full-time project leadership, design, and supervision in China Guangzhou</w:t>
            </w:r>
          </w:p>
        </w:tc>
        <w:tc>
          <w:tcPr/>
          <w:p>
            <w:pPr>
              <w:pStyle w:val="Compact"/>
              <w:jc w:val="left"/>
            </w:pPr>
            <w:r>
              <w:t xml:space="preserve">1</w:t>
            </w:r>
          </w:p>
        </w:tc>
        <w:tc>
          <w:tcPr/>
          <w:p>
            <w:pPr>
              <w:pStyle w:val="Compact"/>
              <w:jc w:val="left"/>
            </w:pPr>
            <w:r>
              <w:t xml:space="preserve">45,000 / month</w:t>
            </w:r>
          </w:p>
        </w:tc>
        <w:tc>
          <w:tcPr/>
          <w:p>
            <w:pPr>
              <w:pStyle w:val="Compact"/>
              <w:jc w:val="left"/>
            </w:pPr>
            <w:r>
              <w:t xml:space="preserve">270,000</w:t>
            </w:r>
          </w:p>
        </w:tc>
        <w:tc>
          <w:tcPr/>
          <w:p>
            <w:pPr>
              <w:pStyle w:val="Compact"/>
              <w:jc w:val="left"/>
            </w:pPr>
            <w:r>
              <w:t xml:space="preserve">6 months</w:t>
            </w:r>
          </w:p>
        </w:tc>
      </w:tr>
      <w:tr>
        <w:tc>
          <w:tcPr/>
          <w:p>
            <w:pPr>
              <w:pStyle w:val="Compact"/>
              <w:jc w:val="left"/>
            </w:pPr>
            <w:r>
              <w:t xml:space="preserve">2</w:t>
            </w:r>
          </w:p>
        </w:tc>
        <w:tc>
          <w:tcPr/>
          <w:p>
            <w:pPr>
              <w:pStyle w:val="Compact"/>
              <w:jc w:val="left"/>
            </w:pPr>
            <w:r>
              <w:t xml:space="preserve">Telecommunication Engineer – Mid-level (Grade 2) – Field survey, RF testing, and cable certification</w:t>
            </w:r>
          </w:p>
        </w:tc>
        <w:tc>
          <w:tcPr/>
          <w:p>
            <w:pPr>
              <w:pStyle w:val="Compact"/>
              <w:jc w:val="left"/>
            </w:pPr>
            <w:r>
              <w:t xml:space="preserve">3</w:t>
            </w:r>
          </w:p>
        </w:tc>
        <w:tc>
          <w:tcPr/>
          <w:p>
            <w:pPr>
              <w:pStyle w:val="Compact"/>
              <w:jc w:val="left"/>
            </w:pPr>
            <w:r>
              <w:t xml:space="preserve">28,000 / month</w:t>
            </w:r>
          </w:p>
        </w:tc>
        <w:tc>
          <w:tcPr/>
          <w:p>
            <w:pPr>
              <w:pStyle w:val="Compact"/>
              <w:jc w:val="left"/>
            </w:pPr>
            <w:r>
              <w:t xml:space="preserve">504,000</w:t>
            </w:r>
          </w:p>
        </w:tc>
        <w:tc>
          <w:tcPr/>
          <w:p>
            <w:pPr>
              <w:pStyle w:val="Compact"/>
              <w:jc w:val="left"/>
            </w:pPr>
            <w:r>
              <w:t xml:space="preserve">6 months</w:t>
            </w:r>
          </w:p>
        </w:tc>
      </w:tr>
      <w:tr>
        <w:tc>
          <w:tcPr/>
          <w:p>
            <w:pPr>
              <w:pStyle w:val="Compact"/>
              <w:jc w:val="left"/>
            </w:pPr>
            <w:r>
              <w:t xml:space="preserve">3</w:t>
            </w:r>
          </w:p>
        </w:tc>
        <w:tc>
          <w:tcPr/>
          <w:p>
            <w:pPr>
              <w:pStyle w:val="Compact"/>
              <w:jc w:val="left"/>
            </w:pPr>
            <w:r>
              <w:t xml:space="preserve">Site survey and RF propagation modelling (42 locations across China Guangzhou)</w:t>
            </w:r>
          </w:p>
        </w:tc>
        <w:tc>
          <w:tcPr/>
          <w:p>
            <w:pPr>
              <w:pStyle w:val="Compact"/>
              <w:jc w:val="left"/>
            </w:pPr>
            <w:r>
              <w:t xml:space="preserve">42</w:t>
            </w:r>
          </w:p>
        </w:tc>
        <w:tc>
          <w:tcPr/>
          <w:p>
            <w:pPr>
              <w:pStyle w:val="Compact"/>
              <w:jc w:val="left"/>
            </w:pPr>
            <w:r>
              <w:t xml:space="preserve">3,500 / site</w:t>
            </w:r>
          </w:p>
        </w:tc>
        <w:tc>
          <w:tcPr/>
          <w:p>
            <w:pPr>
              <w:pStyle w:val="Compact"/>
              <w:jc w:val="left"/>
            </w:pPr>
            <w:r>
              <w:t xml:space="preserve">147,000</w:t>
            </w:r>
          </w:p>
        </w:tc>
        <w:tc>
          <w:tcPr/>
          <w:p>
            <w:pPr>
              <w:pStyle w:val="Compact"/>
              <w:jc w:val="left"/>
            </w:pPr>
            <w:r>
              <w:t xml:space="preserve">2 months</w:t>
            </w:r>
          </w:p>
        </w:tc>
      </w:tr>
      <w:tr>
        <w:tc>
          <w:tcPr/>
          <w:p>
            <w:pPr>
              <w:pStyle w:val="Compact"/>
              <w:jc w:val="left"/>
            </w:pPr>
            <w:r>
              <w:t xml:space="preserve">4</w:t>
            </w:r>
          </w:p>
        </w:tc>
        <w:tc>
          <w:tcPr/>
          <w:p>
            <w:pPr>
              <w:pStyle w:val="Compact"/>
              <w:jc w:val="left"/>
            </w:pPr>
            <w:r>
              <w:t xml:space="preserve">Fiber-optic backbone design documentation (120 km SMF network)</w:t>
            </w:r>
          </w:p>
        </w:tc>
        <w:tc>
          <w:tcPr/>
          <w:p>
            <w:pPr>
              <w:pStyle w:val="Compact"/>
              <w:jc w:val="left"/>
            </w:pPr>
            <w:r>
              <w:t xml:space="preserve">1</w:t>
            </w:r>
          </w:p>
        </w:tc>
        <w:tc>
          <w:tcPr/>
          <w:p>
            <w:pPr>
              <w:pStyle w:val="Compact"/>
              <w:jc w:val="left"/>
            </w:pPr>
            <w:r>
              <w:t xml:space="preserve">185,000 / package</w:t>
            </w:r>
          </w:p>
        </w:tc>
        <w:tc>
          <w:tcPr/>
          <w:p>
            <w:pPr>
              <w:pStyle w:val="Compact"/>
              <w:jc w:val="left"/>
            </w:pPr>
            <w:r>
              <w:t xml:space="preserve">185,000</w:t>
            </w:r>
          </w:p>
        </w:tc>
        <w:tc>
          <w:tcPr/>
          <w:p>
            <w:pPr>
              <w:pStyle w:val="Compact"/>
              <w:jc w:val="left"/>
            </w:pPr>
            <w:r>
              <w:t xml:space="preserve">3 months</w:t>
            </w:r>
          </w:p>
        </w:tc>
      </w:tr>
      <w:tr>
        <w:tc>
          <w:tcPr/>
          <w:p>
            <w:pPr>
              <w:pStyle w:val="Compact"/>
              <w:jc w:val="left"/>
            </w:pPr>
            <w:r>
              <w:t xml:space="preserve">5</w:t>
            </w:r>
          </w:p>
        </w:tc>
        <w:tc>
          <w:tcPr/>
          <w:p>
            <w:pPr>
              <w:pStyle w:val="Compact"/>
              <w:jc w:val="left"/>
            </w:pPr>
            <w:r>
              <w:t xml:space="preserve">Commissioning and performance validation of 5G macro-cell equipment</w:t>
            </w:r>
          </w:p>
        </w:tc>
        <w:tc>
          <w:tcPr/>
          <w:p>
            <w:pPr>
              <w:pStyle w:val="Compact"/>
              <w:jc w:val="left"/>
            </w:pPr>
            <w:r>
              <w:t xml:space="preserve">42</w:t>
            </w:r>
          </w:p>
        </w:tc>
        <w:tc>
          <w:tcPr/>
          <w:p>
            <w:pPr>
              <w:pStyle w:val="Compact"/>
              <w:jc w:val="left"/>
            </w:pPr>
            <w:r>
              <w:t xml:space="preserve">6,200 / cell</w:t>
            </w:r>
          </w:p>
        </w:tc>
        <w:tc>
          <w:tcPr/>
          <w:p>
            <w:pPr>
              <w:pStyle w:val="Compact"/>
              <w:jc w:val="left"/>
            </w:pPr>
            <w:r>
              <w:t xml:space="preserve">260,400</w:t>
            </w:r>
          </w:p>
        </w:tc>
        <w:tc>
          <w:tcPr/>
          <w:p>
            <w:pPr>
              <w:pStyle w:val="Compact"/>
              <w:jc w:val="left"/>
            </w:pPr>
            <w:r>
              <w:t xml:space="preserve">2 months</w:t>
            </w:r>
          </w:p>
        </w:tc>
      </w:tr>
      <w:tr>
        <w:tc>
          <w:tcPr/>
          <w:p>
            <w:pPr>
              <w:pStyle w:val="Compact"/>
              <w:jc w:val="left"/>
            </w:pPr>
            <w:r>
              <w:t xml:space="preserve">6</w:t>
            </w:r>
          </w:p>
        </w:tc>
        <w:tc>
          <w:tcPr/>
          <w:p>
            <w:pPr>
              <w:pStyle w:val="Compact"/>
              <w:jc w:val="left"/>
            </w:pPr>
            <w:r>
              <w:t xml:space="preserve">As-built drawings, O&amp;M manuals, and regulatory compliance filing with MIIT</w:t>
            </w:r>
          </w:p>
        </w:tc>
        <w:tc>
          <w:tcPr/>
          <w:p>
            <w:pPr>
              <w:pStyle w:val="Compact"/>
              <w:jc w:val="left"/>
            </w:pPr>
            <w:r>
              <w:t xml:space="preserve">1</w:t>
            </w:r>
          </w:p>
        </w:tc>
        <w:tc>
          <w:tcPr/>
          <w:p>
            <w:pPr>
              <w:pStyle w:val="Compact"/>
              <w:jc w:val="left"/>
            </w:pPr>
            <w:r>
              <w:t xml:space="preserve">95,000 / set</w:t>
            </w:r>
          </w:p>
        </w:tc>
        <w:tc>
          <w:tcPr/>
          <w:p>
            <w:pPr>
              <w:pStyle w:val="Compact"/>
              <w:jc w:val="left"/>
            </w:pPr>
            <w:r>
              <w:t xml:space="preserve">95,000</w:t>
            </w:r>
          </w:p>
        </w:tc>
        <w:tc>
          <w:tcPr/>
          <w:p>
            <w:pPr>
              <w:pStyle w:val="Compact"/>
              <w:jc w:val="left"/>
            </w:pPr>
            <w:r>
              <w:t xml:space="preserve">1 month</w:t>
            </w:r>
          </w:p>
        </w:tc>
      </w:tr>
      <w:tr>
        <w:tc>
          <w:tcPr/>
          <w:p>
            <w:pPr>
              <w:pStyle w:val="Compact"/>
              <w:jc w:val="left"/>
            </w:pPr>
            <w:r>
              <w:t xml:space="preserve">7</w:t>
            </w:r>
          </w:p>
        </w:tc>
        <w:tc>
          <w:tcPr/>
          <w:p>
            <w:pPr>
              <w:pStyle w:val="Compact"/>
              <w:jc w:val="left"/>
            </w:pPr>
            <w:r>
              <w:t xml:space="preserve">Travel, accommodation, and local logistics within China Guangzhou (all personnel)</w:t>
            </w:r>
          </w:p>
        </w:tc>
        <w:tc>
          <w:tcPr/>
          <w:p>
            <w:pPr>
              <w:pStyle w:val="Compact"/>
              <w:jc w:val="left"/>
            </w:pPr>
            <w:r>
              <w:t xml:space="preserve">1</w:t>
            </w:r>
          </w:p>
        </w:tc>
        <w:tc>
          <w:tcPr/>
          <w:p>
            <w:pPr>
              <w:pStyle w:val="Compact"/>
              <w:jc w:val="left"/>
            </w:pPr>
            <w:r>
              <w:t xml:space="preserve">68,000 / lump sum</w:t>
            </w:r>
          </w:p>
        </w:tc>
        <w:tc>
          <w:tcPr/>
          <w:p>
            <w:pPr>
              <w:pStyle w:val="Compact"/>
              <w:jc w:val="left"/>
            </w:pPr>
            <w:r>
              <w:t xml:space="preserve">68,000</w:t>
            </w:r>
          </w:p>
        </w:tc>
        <w:tc>
          <w:tcPr/>
          <w:p>
            <w:pPr>
              <w:pStyle w:val="Compact"/>
              <w:jc w:val="left"/>
            </w:pPr>
            <w:r>
              <w:t xml:space="preserve">6 months</w:t>
            </w:r>
          </w:p>
        </w:tc>
      </w:tr>
      <w:tr>
        <w:tc>
          <w:tcPr/>
          <w:p>
            <w:pPr>
              <w:pStyle w:val="Compact"/>
              <w:jc w:val="left"/>
            </w:pPr>
            <w:r>
              <w:t xml:space="preserve">8</w:t>
            </w:r>
          </w:p>
        </w:tc>
        <w:tc>
          <w:tcPr/>
          <w:p>
            <w:pPr>
              <w:pStyle w:val="Compact"/>
              <w:jc w:val="left"/>
            </w:pPr>
            <w:r>
              <w:t xml:space="preserve">12-month post-commissioning warranty support and Telecommunication Engineer on-call availability</w:t>
            </w:r>
          </w:p>
        </w:tc>
        <w:tc>
          <w:tcPr/>
          <w:p>
            <w:pPr>
              <w:pStyle w:val="Compact"/>
              <w:jc w:val="left"/>
            </w:pPr>
            <w:r>
              <w:t xml:space="preserve">1</w:t>
            </w:r>
          </w:p>
        </w:tc>
        <w:tc>
          <w:tcPr/>
          <w:p>
            <w:pPr>
              <w:pStyle w:val="Compact"/>
              <w:jc w:val="left"/>
            </w:pPr>
            <w:r>
              <w:t xml:space="preserve">120,000 / year</w:t>
            </w:r>
          </w:p>
        </w:tc>
        <w:tc>
          <w:tcPr/>
          <w:p>
            <w:pPr>
              <w:pStyle w:val="Compact"/>
              <w:jc w:val="left"/>
            </w:pPr>
            <w:r>
              <w:t xml:space="preserve">120,000</w:t>
            </w:r>
          </w:p>
        </w:tc>
        <w:tc>
          <w:tcPr/>
          <w:p>
            <w:pPr>
              <w:pStyle w:val="Compact"/>
              <w:jc w:val="left"/>
            </w:pPr>
            <w:r>
              <w:t xml:space="preserve">12 months</w:t>
            </w:r>
          </w:p>
        </w:tc>
      </w:tr>
      <w:tr>
        <w:tc>
          <w:tcPr>
            <w:gridSpan w:val="4"/>
          </w:tcPr>
          <w:p>
            <w:pPr>
              <w:pStyle w:val="Compact"/>
              <w:jc w:val="right"/>
            </w:pPr>
            <w:r>
              <w:t xml:space="preserve">Subtotal (CNY)</w:t>
            </w:r>
          </w:p>
        </w:tc>
        <w:tc>
          <w:tcPr/>
          <w:p>
            <w:pPr>
              <w:pStyle w:val="Compact"/>
              <w:jc w:val="left"/>
            </w:pPr>
            <w:r>
              <w:t xml:space="preserve">1,649,400</w:t>
            </w:r>
          </w:p>
        </w:tc>
        <w:tc>
          <w:tcPr/>
          <w:p>
            <w:pPr>
              <w:pStyle w:val="Compact"/>
            </w:pPr>
          </w:p>
        </w:tc>
      </w:tr>
      <w:tr>
        <w:tc>
          <w:tcPr>
            <w:gridSpan w:val="4"/>
          </w:tcPr>
          <w:p>
            <w:pPr>
              <w:pStyle w:val="Compact"/>
              <w:jc w:val="right"/>
            </w:pPr>
            <w:r>
              <w:t xml:space="preserve">VAT (13% – PRC standard rate for engineering services)</w:t>
            </w:r>
          </w:p>
        </w:tc>
        <w:tc>
          <w:tcPr/>
          <w:p>
            <w:pPr>
              <w:pStyle w:val="Compact"/>
              <w:jc w:val="left"/>
            </w:pPr>
            <w:r>
              <w:t xml:space="preserve">214,422</w:t>
            </w:r>
          </w:p>
        </w:tc>
        <w:tc>
          <w:tcPr/>
          <w:p>
            <w:pPr>
              <w:pStyle w:val="Compact"/>
            </w:pPr>
          </w:p>
        </w:tc>
      </w:tr>
      <w:tr>
        <w:tc>
          <w:tcPr>
            <w:gridSpan w:val="4"/>
          </w:tcPr>
          <w:p>
            <w:pPr>
              <w:pStyle w:val="Compact"/>
              <w:jc w:val="right"/>
            </w:pPr>
            <w:r>
              <w:t xml:space="preserve">TOTAL ESTIMATED COST (CNY)</w:t>
            </w:r>
          </w:p>
        </w:tc>
        <w:tc>
          <w:tcPr/>
          <w:p>
            <w:pPr>
              <w:pStyle w:val="Compact"/>
              <w:jc w:val="left"/>
            </w:pPr>
            <w:r>
              <w:t xml:space="preserve">1,863,822</w:t>
            </w:r>
          </w:p>
        </w:tc>
        <w:tc>
          <w:tcPr/>
          <w:p>
            <w:pPr>
              <w:pStyle w:val="Compact"/>
            </w:pPr>
          </w:p>
        </w:tc>
      </w:tr>
    </w:tbl>
    <w:p>
      <w:pPr>
        <w:pStyle w:val="BodyText"/>
      </w:pPr>
      <w:r>
        <w:t xml:space="preserve">All amounts are quoted in Chinese Yuan (CNY). This Quotation Estimate is exclusive of any third-party equipment procurement costs, which shall be itemized separately upon client approval of the Telecommunication Engineer's design specifications.</w:t>
      </w:r>
    </w:p>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372,764</w:t>
            </w:r>
          </w:p>
        </w:tc>
        <w:tc>
          <w:tcPr/>
          <w:p>
            <w:pPr>
              <w:pStyle w:val="Compact"/>
              <w:jc w:val="left"/>
            </w:pPr>
            <w:r>
              <w:t xml:space="preserve">Upon signing of the service contract</w:t>
            </w:r>
          </w:p>
        </w:tc>
      </w:tr>
      <w:tr>
        <w:tc>
          <w:tcPr/>
          <w:p>
            <w:pPr>
              <w:pStyle w:val="Compact"/>
              <w:jc w:val="left"/>
            </w:pPr>
            <w:r>
              <w:t xml:space="preserve">Design Approval</w:t>
            </w:r>
          </w:p>
        </w:tc>
        <w:tc>
          <w:tcPr/>
          <w:p>
            <w:pPr>
              <w:pStyle w:val="Compact"/>
              <w:jc w:val="left"/>
            </w:pPr>
            <w:r>
              <w:t xml:space="preserve">25%</w:t>
            </w:r>
          </w:p>
        </w:tc>
        <w:tc>
          <w:tcPr/>
          <w:p>
            <w:pPr>
              <w:pStyle w:val="Compact"/>
              <w:jc w:val="left"/>
            </w:pPr>
            <w:r>
              <w:t xml:space="preserve">465,956</w:t>
            </w:r>
          </w:p>
        </w:tc>
        <w:tc>
          <w:tcPr/>
          <w:p>
            <w:pPr>
              <w:pStyle w:val="Compact"/>
              <w:jc w:val="left"/>
            </w:pPr>
            <w:r>
              <w:t xml:space="preserve">Client sign-off on Telecommunication Engineer's design package</w:t>
            </w:r>
          </w:p>
        </w:tc>
      </w:tr>
      <w:tr>
        <w:tc>
          <w:tcPr/>
          <w:p>
            <w:pPr>
              <w:pStyle w:val="Compact"/>
              <w:jc w:val="left"/>
            </w:pPr>
            <w:r>
              <w:t xml:space="preserve">Field Completion</w:t>
            </w:r>
          </w:p>
        </w:tc>
        <w:tc>
          <w:tcPr/>
          <w:p>
            <w:pPr>
              <w:pStyle w:val="Compact"/>
              <w:jc w:val="left"/>
            </w:pPr>
            <w:r>
              <w:t xml:space="preserve">30%</w:t>
            </w:r>
          </w:p>
        </w:tc>
        <w:tc>
          <w:tcPr/>
          <w:p>
            <w:pPr>
              <w:pStyle w:val="Compact"/>
              <w:jc w:val="left"/>
            </w:pPr>
            <w:r>
              <w:t xml:space="preserve">559,147</w:t>
            </w:r>
          </w:p>
        </w:tc>
        <w:tc>
          <w:tcPr/>
          <w:p>
            <w:pPr>
              <w:pStyle w:val="Compact"/>
              <w:jc w:val="left"/>
            </w:pPr>
            <w:r>
              <w:t xml:space="preserve">Completion of all 42 site deployments in China Guangzhou</w:t>
            </w:r>
          </w:p>
        </w:tc>
      </w:tr>
      <w:tr>
        <w:tc>
          <w:tcPr/>
          <w:p>
            <w:pPr>
              <w:pStyle w:val="Compact"/>
              <w:jc w:val="left"/>
            </w:pPr>
            <w:r>
              <w:t xml:space="preserve">Final Commissioning</w:t>
            </w:r>
          </w:p>
        </w:tc>
        <w:tc>
          <w:tcPr/>
          <w:p>
            <w:pPr>
              <w:pStyle w:val="Compact"/>
              <w:jc w:val="left"/>
            </w:pPr>
            <w:r>
              <w:t xml:space="preserve">20%</w:t>
            </w:r>
          </w:p>
        </w:tc>
        <w:tc>
          <w:tcPr/>
          <w:p>
            <w:pPr>
              <w:pStyle w:val="Compact"/>
              <w:jc w:val="left"/>
            </w:pPr>
            <w:r>
              <w:t xml:space="preserve">372,764</w:t>
            </w:r>
          </w:p>
        </w:tc>
        <w:tc>
          <w:tcPr/>
          <w:p>
            <w:pPr>
              <w:pStyle w:val="Compact"/>
              <w:jc w:val="left"/>
            </w:pPr>
            <w:r>
              <w:t xml:space="preserve">Successful load test and MIIT compliance certification</w:t>
            </w:r>
          </w:p>
        </w:tc>
      </w:tr>
      <w:tr>
        <w:tc>
          <w:tcPr/>
          <w:p>
            <w:pPr>
              <w:pStyle w:val="Compact"/>
              <w:jc w:val="left"/>
            </w:pPr>
            <w:r>
              <w:t xml:space="preserve">Warranty Retention</w:t>
            </w:r>
          </w:p>
        </w:tc>
        <w:tc>
          <w:tcPr/>
          <w:p>
            <w:pPr>
              <w:pStyle w:val="Compact"/>
              <w:jc w:val="left"/>
            </w:pPr>
            <w:r>
              <w:t xml:space="preserve">5%</w:t>
            </w:r>
          </w:p>
        </w:tc>
        <w:tc>
          <w:tcPr/>
          <w:p>
            <w:pPr>
              <w:pStyle w:val="Compact"/>
              <w:jc w:val="left"/>
            </w:pPr>
            <w:r>
              <w:t xml:space="preserve">93,191</w:t>
            </w:r>
          </w:p>
        </w:tc>
        <w:tc>
          <w:tcPr/>
          <w:p>
            <w:pPr>
              <w:pStyle w:val="Compact"/>
              <w:jc w:val="left"/>
            </w:pPr>
            <w:r>
              <w:t xml:space="preserve">Release after 12-month warranty period</w:t>
            </w:r>
          </w:p>
        </w:tc>
      </w:tr>
    </w:tbl>
    <w:p>
      <w:pPr>
        <w:pStyle w:val="BodyText"/>
      </w:pPr>
      <w:r>
        <w:t xml:space="preserve">4. Terms and Conditions</w:t>
      </w:r>
    </w:p>
    <w:p>
      <w:pPr>
        <w:numPr>
          <w:ilvl w:val="0"/>
          <w:numId w:val="1002"/>
        </w:numPr>
        <w:pStyle w:val="Compact"/>
      </w:pPr>
      <w:r>
        <w:t xml:space="preserve">This Quotation Estimate is valid for a period of ninety (90) calendar days from the date of issue. Beyond this period, pricing for the Telecommunication Engineer's services and associated materials in China Guangzhou is subject to revision based on prevailing market rates and PRC labor regulations.</w:t>
      </w:r>
    </w:p>
    <w:p>
      <w:pPr>
        <w:numPr>
          <w:ilvl w:val="0"/>
          <w:numId w:val="1002"/>
        </w:numPr>
        <w:pStyle w:val="Compact"/>
      </w:pPr>
      <w:r>
        <w:t xml:space="preserve">All work shall be performed in strict compliance with the Telecommunications Regulations of the People's Republic of China, GB 51158-2015 (Code for Design of Optical Fiber Communication Systems), and local Guangzhou municipal planning ordinances.</w:t>
      </w:r>
    </w:p>
    <w:p>
      <w:pPr>
        <w:numPr>
          <w:ilvl w:val="0"/>
          <w:numId w:val="1002"/>
        </w:numPr>
        <w:pStyle w:val="Compact"/>
      </w:pPr>
      <w:r>
        <w:t xml:space="preserve">The Telecommunication Engineer and all supporting personnel shall be employed under PRC labor law. Social insurance, work-injury insurance, and occupational health provisions applicable in China Guangzhou shall be borne by the supplier.</w:t>
      </w:r>
    </w:p>
    <w:p>
      <w:pPr>
        <w:numPr>
          <w:ilvl w:val="0"/>
          <w:numId w:val="1002"/>
        </w:numPr>
        <w:pStyle w:val="Compact"/>
      </w:pPr>
      <w:r>
        <w:t xml:space="preserve">Intellectual property rights in all design documents, engineering drawings, and technical reports produced by the Telecommunication Engineer shall vest in the client upon full payment.</w:t>
      </w:r>
    </w:p>
    <w:p>
      <w:pPr>
        <w:numPr>
          <w:ilvl w:val="0"/>
          <w:numId w:val="1002"/>
        </w:numPr>
        <w:pStyle w:val="Compact"/>
      </w:pPr>
      <w:r>
        <w:t xml:space="preserve">Any variation in scope exceeding 10% of the original Quotation Estimate value shall require a written change order signed by both parties before additional work commences.</w:t>
      </w:r>
    </w:p>
    <w:p>
      <w:pPr>
        <w:numPr>
          <w:ilvl w:val="0"/>
          <w:numId w:val="1002"/>
        </w:numPr>
        <w:pStyle w:val="Compact"/>
      </w:pPr>
      <w:r>
        <w:t xml:space="preserve">Disputes arising from this Quotation Estimate or the resulting contract shall be resolved through arbitration at the China International Economic and Trade Arbitration Commission (CIETAC), Guangzhou Sub-Commission, in accordance with its then-current rules.</w:t>
      </w:r>
    </w:p>
    <w:p>
      <w:pPr>
        <w:numPr>
          <w:ilvl w:val="0"/>
          <w:numId w:val="1002"/>
        </w:numPr>
        <w:pStyle w:val="Compact"/>
      </w:pPr>
      <w:r>
        <w:t xml:space="preserve">This Quotation Estimate does not constitute a binding contract until a formal service agreement is executed by authorized representatives of both parties.</w:t>
      </w:r>
    </w:p>
    <w:p>
      <w:pPr>
        <w:pStyle w:val="FirstParagraph"/>
      </w:pPr>
      <w:r>
        <w:t xml:space="preserve">5. Acceptance and Authorization</w:t>
      </w:r>
    </w:p>
    <w:p>
      <w:pPr>
        <w:pStyle w:val="BodyText"/>
      </w:pPr>
      <w:r>
        <w:t xml:space="preserve">By signing below, the client acknowledges receipt of this Quotation Estimate for Telecommunication Engineer services in China Guangzhou and agrees to the terms, conditions, and pricing outlined herein. The supplier confirms availability of the specified Telecommunication Engineer resources and commits to the stated delivery timeline.</w:t>
      </w:r>
    </w:p>
    <w:p>
      <w:pPr>
        <w:pStyle w:val="BodyText"/>
      </w:pPr>
      <w:r>
        <w:rPr>
          <w:bCs/>
          <w:b/>
        </w:rPr>
        <w:t xml:space="preserve">For and on behalf of the Client:</w:t>
      </w:r>
    </w:p>
    <w:p>
      <w:pPr>
        <w:pStyle w:val="BodyText"/>
      </w:pPr>
      <w:r>
        <w:t xml:space="preserve">Guangzhou Municipal Urban Infrastructure Development Bureau</w:t>
      </w:r>
    </w:p>
    <w:p>
      <w:pPr>
        <w:pStyle w:val="BodyText"/>
      </w:pPr>
      <w:r>
        <w:t xml:space="preserve">Name / Title / Signature / Date</w:t>
      </w:r>
    </w:p>
    <w:p>
      <w:pPr>
        <w:pStyle w:val="BodyText"/>
      </w:pPr>
      <w:r>
        <w:rPr>
          <w:bCs/>
          <w:b/>
        </w:rPr>
        <w:t xml:space="preserve">For and on behalf of the Supplier:</w:t>
      </w:r>
    </w:p>
    <w:p>
      <w:pPr>
        <w:pStyle w:val="BodyText"/>
      </w:pPr>
      <w:r>
        <w:t xml:space="preserve">Guangzhou Telecommunications Solutions Co., Ltd.</w:t>
      </w:r>
    </w:p>
    <w:p>
      <w:pPr>
        <w:pStyle w:val="BodyText"/>
      </w:pPr>
      <w:r>
        <w:t xml:space="preserve">Name / Title / Signature / Date</w:t>
      </w:r>
    </w:p>
    <w:p>
      <w:pPr>
        <w:pStyle w:val="BodyText"/>
      </w:pPr>
      <w:r>
        <w:t xml:space="preserve">Guangzhou Telecommunications Solutions Co., Ltd. | Building 12, Tianhe Science City, Tianhe District, Guangzhou, Guangdong, China 510663</w:t>
      </w:r>
    </w:p>
    <w:p>
      <w:pPr>
        <w:pStyle w:val="BodyText"/>
      </w:pPr>
      <w:r>
        <w:t xml:space="preserve">This Quotation Estimate (Ref: QTE-GZ-2025-0742) is the property of the issuing company. Unauthorized reproduction or distribution is prohibited. All references to China Guangzhou pertain to the municipal administrative area of Guangzhou City, Guangdong Province, People's Republic of China.</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China Guangzhou</dc:title>
  <dc:creator/>
  <dc:language>en</dc:language>
  <cp:keywords/>
  <dcterms:created xsi:type="dcterms:W3CDTF">2026-10-10T07:59:57Z</dcterms:created>
  <dcterms:modified xsi:type="dcterms:W3CDTF">2026-10-10T07:59:57Z</dcterms:modified>
</cp:coreProperties>
</file>

<file path=docProps/custom.xml><?xml version="1.0" encoding="utf-8"?>
<Properties xmlns="http://schemas.openxmlformats.org/officeDocument/2006/custom-properties" xmlns:vt="http://schemas.openxmlformats.org/officeDocument/2006/docPropsVTypes"/>
</file>