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rPr>
          <w:bCs/>
          <w:b/>
        </w:rPr>
        <w:t xml:space="preserve">PT Nusantara Telecommunications Solutions</w:t>
      </w:r>
    </w:p>
    <w:p>
      <w:pPr>
        <w:pStyle w:val="BodyText"/>
      </w:pPr>
      <w:r>
        <w:t xml:space="preserve">Jl. Jend. Sudirman Kav. 52-53, SCBD District, Jakarta Selatan 12190, Indonesia</w:t>
      </w:r>
    </w:p>
    <w:p>
      <w:pPr>
        <w:pStyle w:val="BodyText"/>
      </w:pPr>
      <w:r>
        <w:t xml:space="preserve">Tel: +62-21-5790-1234 | Email: quotations@nusantara-telecom.co.id</w:t>
      </w:r>
    </w:p>
    <w:p>
      <w:pPr>
        <w:pStyle w:val="BodyText"/>
      </w:pPr>
      <w:r>
        <w:t xml:space="preserve">NPWP: 01.234.567.8-051.000 | Business License (NIB): 1203001234567</w:t>
      </w:r>
    </w:p>
    <w:bookmarkEnd w:id="20"/>
    <w:p>
      <w:pPr>
        <w:pStyle w:val="BodyText"/>
      </w:pPr>
      <w:r>
        <w:rPr>
          <w:bCs/>
          <w:b/>
        </w:rPr>
        <w:t xml:space="preserve">Quotation No.:</w:t>
      </w:r>
      <w:r>
        <w:t xml:space="preserve"> </w:t>
      </w:r>
      <w:r>
        <w:t xml:space="preserve">QTE/2025/JKT/04782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Indonesia Jakarta</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PT Artha Digital Infrastructure</w:t>
            </w:r>
          </w:p>
        </w:tc>
        <w:tc>
          <w:tcPr/>
          <w:p>
            <w:pPr>
              <w:pStyle w:val="Compact"/>
              <w:jc w:val="left"/>
            </w:pPr>
            <w:r>
              <w:rPr>
                <w:bCs/>
                <w:b/>
              </w:rPr>
              <w:t xml:space="preserve">Contact Person:</w:t>
            </w:r>
            <w:r>
              <w:t xml:space="preserve"> </w:t>
            </w:r>
            <w:r>
              <w:t xml:space="preserve">Mr. Budi Santoso, Director of Engineering</w:t>
            </w:r>
          </w:p>
        </w:tc>
      </w:tr>
      <w:tr>
        <w:tc>
          <w:tcPr/>
          <w:p>
            <w:pPr>
              <w:pStyle w:val="Compact"/>
              <w:jc w:val="left"/>
            </w:pPr>
            <w:r>
              <w:rPr>
                <w:bCs/>
                <w:b/>
              </w:rPr>
              <w:t xml:space="preserve">Address:</w:t>
            </w:r>
            <w:r>
              <w:t xml:space="preserve"> </w:t>
            </w:r>
            <w:r>
              <w:t xml:space="preserve">Menara Artha Lantai 18, Jl. HR Rasuna Said, Kuningan, Jakarta Selatan 12950</w:t>
            </w:r>
          </w:p>
        </w:tc>
        <w:tc>
          <w:tcPr/>
          <w:p>
            <w:pPr>
              <w:pStyle w:val="Compact"/>
              <w:jc w:val="left"/>
            </w:pPr>
            <w:r>
              <w:rPr>
                <w:bCs/>
                <w:b/>
              </w:rPr>
              <w:t xml:space="preserve">Email:</w:t>
            </w:r>
            <w:r>
              <w:t xml:space="preserve"> </w:t>
            </w:r>
            <w:r>
              <w:t xml:space="preserve">b.santoso@arthadigital.co.id</w:t>
            </w:r>
          </w:p>
        </w:tc>
      </w:tr>
      <w:tr>
        <w:tc>
          <w:tcPr/>
          <w:p>
            <w:pPr>
              <w:pStyle w:val="Compact"/>
              <w:jc w:val="left"/>
            </w:pPr>
            <w:r>
              <w:rPr>
                <w:bCs/>
                <w:b/>
              </w:rPr>
              <w:t xml:space="preserve">Phone:</w:t>
            </w:r>
            <w:r>
              <w:t xml:space="preserve"> </w:t>
            </w:r>
            <w:r>
              <w:t xml:space="preserve">+62-21-520-8899</w:t>
            </w:r>
          </w:p>
        </w:tc>
        <w:tc>
          <w:tcPr/>
          <w:p>
            <w:pPr>
              <w:pStyle w:val="Compact"/>
              <w:jc w:val="left"/>
            </w:pPr>
            <w:r>
              <w:rPr>
                <w:bCs/>
                <w:b/>
              </w:rPr>
              <w:t xml:space="preserve">Project Reference:</w:t>
            </w:r>
            <w:r>
              <w:t xml:space="preserve"> </w:t>
            </w:r>
            <w:r>
              <w:t xml:space="preserve">ADI-TELECOM-2025-003</w:t>
            </w:r>
          </w:p>
        </w:tc>
      </w:tr>
    </w:tbl>
    <w:p>
      <w:pPr>
        <w:pStyle w:val="BodyText"/>
      </w:pPr>
      <w:r>
        <w:t xml:space="preserve">2. Scope of Work – Telecommunication Engineer Services in Indonesia Jakarta</w:t>
      </w:r>
    </w:p>
    <w:p>
      <w:pPr>
        <w:pStyle w:val="BodyText"/>
      </w:pPr>
      <w:r>
        <w:t xml:space="preserve">This</w:t>
      </w:r>
      <w:r>
        <w:t xml:space="preserve"> </w:t>
      </w:r>
      <w:r>
        <w:t xml:space="preserve">Quotation Estimate</w:t>
      </w:r>
      <w:r>
        <w:t xml:space="preserve"> </w:t>
      </w:r>
      <w:r>
        <w:t xml:space="preserve">is prepared for the engagement of a senior</w:t>
      </w:r>
      <w:r>
        <w:t xml:space="preserve"> </w:t>
      </w:r>
      <w:r>
        <w:t xml:space="preserve">Telecommunication Engineer</w:t>
      </w:r>
      <w:r>
        <w:t xml:space="preserve"> </w:t>
      </w:r>
      <w:r>
        <w:t xml:space="preserve">to provide comprehensive design, implementation, testing, and commissioning services for the telecommunications infrastructure project located in</w:t>
      </w:r>
      <w:r>
        <w:t xml:space="preserve"> </w:t>
      </w:r>
      <w:r>
        <w:t xml:space="preserve">Indonesia Jakarta</w:t>
      </w:r>
      <w:r>
        <w:t xml:space="preserve">. The scope encompasses the following deliverables: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Site survey and feasibility assessment of existing telecommunication network infrastructure across three (3) office buildings in the Indonesia Jakarta metropolitan area, including fiber optic backbone inspection and RF signal mapping.</w:t>
            </w:r>
          </w:p>
        </w:tc>
        <w:tc>
          <w:tcPr/>
          <w:p>
            <w:pPr>
              <w:pStyle w:val="Compact"/>
              <w:jc w:val="left"/>
            </w:pPr>
            <w:r>
              <w:t xml:space="preserve">10 working days</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Design and engineering of a new 40G/100G fiber optic network topology, including detailed schematics, Bill of Materials (BOM), and compliance with Indonesian Ministry of Communication and Information Technology (Kominfo) regulations applicable in Indonesia Jakarta.</w:t>
            </w:r>
          </w:p>
        </w:tc>
        <w:tc>
          <w:tcPr/>
          <w:p>
            <w:pPr>
              <w:pStyle w:val="Compact"/>
              <w:jc w:val="left"/>
            </w:pPr>
            <w:r>
              <w:t xml:space="preserve">15 working days</w:t>
            </w:r>
          </w:p>
        </w:tc>
        <w:tc>
          <w:tcPr/>
          <w:p>
            <w:pPr>
              <w:pStyle w:val="Compact"/>
              <w:jc w:val="left"/>
            </w:pPr>
            <w:r>
              <w:t xml:space="preserve">120,000,000</w:t>
            </w:r>
          </w:p>
        </w:tc>
      </w:tr>
      <w:tr>
        <w:tc>
          <w:tcPr/>
          <w:p>
            <w:pPr>
              <w:pStyle w:val="Compact"/>
              <w:jc w:val="left"/>
            </w:pPr>
            <w:r>
              <w:t xml:space="preserve">3</w:t>
            </w:r>
          </w:p>
        </w:tc>
        <w:tc>
          <w:tcPr/>
          <w:p>
            <w:pPr>
              <w:pStyle w:val="Compact"/>
              <w:jc w:val="left"/>
            </w:pPr>
            <w:r>
              <w:t xml:space="preserve">Supervision and technical oversight of fiber optic cable laying, patch panel installation, and active network equipment deployment (core switches, routers, and wireless access points) at the Indonesia Jakarta project site.</w:t>
            </w:r>
          </w:p>
        </w:tc>
        <w:tc>
          <w:tcPr/>
          <w:p>
            <w:pPr>
              <w:pStyle w:val="Compact"/>
              <w:jc w:val="left"/>
            </w:pPr>
            <w:r>
              <w:t xml:space="preserve">20 working days</w:t>
            </w:r>
          </w:p>
        </w:tc>
        <w:tc>
          <w:tcPr/>
          <w:p>
            <w:pPr>
              <w:pStyle w:val="Compact"/>
              <w:jc w:val="left"/>
            </w:pPr>
            <w:r>
              <w:t xml:space="preserve">150,000,000</w:t>
            </w:r>
          </w:p>
        </w:tc>
      </w:tr>
      <w:tr>
        <w:tc>
          <w:tcPr/>
          <w:p>
            <w:pPr>
              <w:pStyle w:val="Compact"/>
              <w:jc w:val="left"/>
            </w:pPr>
            <w:r>
              <w:t xml:space="preserve">4</w:t>
            </w:r>
          </w:p>
        </w:tc>
        <w:tc>
          <w:tcPr/>
          <w:p>
            <w:pPr>
              <w:pStyle w:val="Compact"/>
              <w:jc w:val="left"/>
            </w:pPr>
            <w:r>
              <w:t xml:space="preserve">End-to-end network testing, performance benchmarking, and commissioning of the telecommunication system, including throughput testing, latency measurement, and redundancy failover validation.</w:t>
            </w:r>
          </w:p>
        </w:tc>
        <w:tc>
          <w:tcPr/>
          <w:p>
            <w:pPr>
              <w:pStyle w:val="Compact"/>
              <w:jc w:val="left"/>
            </w:pPr>
            <w:r>
              <w:t xml:space="preserve">7 working days</w:t>
            </w:r>
          </w:p>
        </w:tc>
        <w:tc>
          <w:tcPr/>
          <w:p>
            <w:pPr>
              <w:pStyle w:val="Compact"/>
              <w:jc w:val="left"/>
            </w:pPr>
            <w:r>
              <w:t xml:space="preserve">65,000,000</w:t>
            </w:r>
          </w:p>
        </w:tc>
      </w:tr>
      <w:tr>
        <w:tc>
          <w:tcPr/>
          <w:p>
            <w:pPr>
              <w:pStyle w:val="Compact"/>
              <w:jc w:val="left"/>
            </w:pPr>
            <w:r>
              <w:t xml:space="preserve">5</w:t>
            </w:r>
          </w:p>
        </w:tc>
        <w:tc>
          <w:tcPr/>
          <w:p>
            <w:pPr>
              <w:pStyle w:val="Compact"/>
              <w:jc w:val="left"/>
            </w:pPr>
            <w:r>
              <w:t xml:space="preserve">Preparation of as-built documentation, operation and maintenance manuals, and a comprehensive handover report for the client's in-house technical team in Indonesia Jakarta.</w:t>
            </w:r>
          </w:p>
        </w:tc>
        <w:tc>
          <w:tcPr/>
          <w:p>
            <w:pPr>
              <w:pStyle w:val="Compact"/>
              <w:jc w:val="left"/>
            </w:pPr>
            <w:r>
              <w:t xml:space="preserve">5 working days</w:t>
            </w:r>
          </w:p>
        </w:tc>
        <w:tc>
          <w:tcPr/>
          <w:p>
            <w:pPr>
              <w:pStyle w:val="Compact"/>
              <w:jc w:val="left"/>
            </w:pPr>
            <w:r>
              <w:t xml:space="preserve">40,000,000</w:t>
            </w:r>
          </w:p>
        </w:tc>
      </w:tr>
      <w:tr>
        <w:tc>
          <w:tcPr/>
          <w:p>
            <w:pPr>
              <w:pStyle w:val="Compact"/>
              <w:jc w:val="left"/>
            </w:pPr>
            <w:r>
              <w:t xml:space="preserve">6</w:t>
            </w:r>
          </w:p>
        </w:tc>
        <w:tc>
          <w:tcPr/>
          <w:p>
            <w:pPr>
              <w:pStyle w:val="Compact"/>
              <w:jc w:val="left"/>
            </w:pPr>
            <w:r>
              <w:t xml:space="preserve">On-site training sessions (4 sessions of 4 hours each) for the client's IT and facilities staff on network monitoring, basic troubleshooting, and preventive maintenance procedures for the telecommunication infrastructure.</w:t>
            </w:r>
          </w:p>
        </w:tc>
        <w:tc>
          <w:tcPr/>
          <w:p>
            <w:pPr>
              <w:pStyle w:val="Compact"/>
              <w:jc w:val="left"/>
            </w:pPr>
            <w:r>
              <w:t xml:space="preserve">4 working days</w:t>
            </w:r>
          </w:p>
        </w:tc>
        <w:tc>
          <w:tcPr/>
          <w:p>
            <w:pPr>
              <w:pStyle w:val="Compact"/>
              <w:jc w:val="left"/>
            </w:pPr>
            <w:r>
              <w:t xml:space="preserve">35,000,000</w:t>
            </w:r>
          </w:p>
        </w:tc>
      </w:tr>
      <w:tr>
        <w:tc>
          <w:tcPr/>
          <w:p>
            <w:pPr>
              <w:pStyle w:val="Compact"/>
              <w:jc w:val="left"/>
            </w:pPr>
            <w:r>
              <w:t xml:space="preserve">7</w:t>
            </w:r>
          </w:p>
        </w:tc>
        <w:tc>
          <w:tcPr/>
          <w:p>
            <w:pPr>
              <w:pStyle w:val="Compact"/>
              <w:jc w:val="left"/>
            </w:pPr>
            <w:r>
              <w:t xml:space="preserve">Post-commissioning warranty support and remote technical assistance for a period of ninety (90) calendar days following the final acceptance of the project in Indonesia Jakarta.</w:t>
            </w:r>
          </w:p>
        </w:tc>
        <w:tc>
          <w:tcPr/>
          <w:p>
            <w:pPr>
              <w:pStyle w:val="Compact"/>
              <w:jc w:val="left"/>
            </w:pPr>
            <w:r>
              <w:t xml:space="preserve">90 calendar days</w:t>
            </w:r>
          </w:p>
        </w:tc>
        <w:tc>
          <w:tcPr/>
          <w:p>
            <w:pPr>
              <w:pStyle w:val="Compact"/>
              <w:jc w:val="left"/>
            </w:pPr>
            <w:r>
              <w:t xml:space="preserve">55,000,000</w:t>
            </w:r>
          </w:p>
        </w:tc>
      </w:tr>
      <w:tr>
        <w:tc>
          <w:tcPr>
            <w:gridSpan w:val="3"/>
          </w:tcPr>
          <w:p>
            <w:pPr>
              <w:pStyle w:val="Compact"/>
              <w:jc w:val="left"/>
            </w:pPr>
            <w:r>
              <w:rPr>
                <w:bCs/>
                <w:b/>
              </w:rPr>
              <w:t xml:space="preserve">Subtotal (Professional Services)</w:t>
            </w:r>
          </w:p>
        </w:tc>
        <w:tc>
          <w:tcPr/>
          <w:p>
            <w:pPr>
              <w:pStyle w:val="Compact"/>
              <w:jc w:val="left"/>
            </w:pPr>
            <w:r>
              <w:rPr>
                <w:bCs/>
                <w:b/>
              </w:rPr>
              <w:t xml:space="preserve">550,000,000</w:t>
            </w:r>
          </w:p>
        </w:tc>
      </w:tr>
      <w:tr>
        <w:tc>
          <w:tcPr>
            <w:gridSpan w:val="3"/>
          </w:tcPr>
          <w:p>
            <w:pPr>
              <w:pStyle w:val="Compact"/>
              <w:jc w:val="left"/>
            </w:pPr>
            <w:r>
              <w:t xml:space="preserve">VAT (Pajak Pertambahan Nilai) – 11% as per Indonesian tax regulation</w:t>
            </w:r>
          </w:p>
        </w:tc>
        <w:tc>
          <w:tcPr/>
          <w:p>
            <w:pPr>
              <w:pStyle w:val="Compact"/>
              <w:jc w:val="left"/>
            </w:pPr>
            <w:r>
              <w:t xml:space="preserve">60,500,000</w:t>
            </w:r>
          </w:p>
        </w:tc>
      </w:tr>
      <w:tr>
        <w:tc>
          <w:tcPr>
            <w:gridSpan w:val="3"/>
          </w:tcPr>
          <w:p>
            <w:pPr>
              <w:pStyle w:val="Compact"/>
              <w:jc w:val="left"/>
            </w:pPr>
            <w:r>
              <w:rPr>
                <w:bCs/>
                <w:b/>
              </w:rPr>
              <w:t xml:space="preserve">Grand Total</w:t>
            </w:r>
          </w:p>
        </w:tc>
        <w:tc>
          <w:tcPr/>
          <w:p>
            <w:pPr>
              <w:pStyle w:val="Compact"/>
              <w:jc w:val="left"/>
            </w:pPr>
            <w:r>
              <w:rPr>
                <w:bCs/>
                <w:b/>
              </w:rPr>
              <w:t xml:space="preserve">610,500,000</w:t>
            </w:r>
          </w:p>
        </w:tc>
      </w:tr>
    </w:tbl>
    <w:p>
      <w:pPr>
        <w:pStyle w:val="BodyText"/>
      </w:pPr>
      <w:r>
        <w:t xml:space="preserve">* All amounts are stated in Indonesian Rupiah (IDR). The above</w:t>
      </w:r>
      <w:r>
        <w:t xml:space="preserve"> </w:t>
      </w:r>
      <w:r>
        <w:t xml:space="preserve">Quotation Estimate</w:t>
      </w:r>
      <w:r>
        <w:t xml:space="preserve"> </w:t>
      </w:r>
      <w:r>
        <w:t xml:space="preserve">does not include the cost of hardware, cabling materials, or third-party permits, which shall be procured separately by the client.</w:t>
      </w:r>
    </w:p>
    <w:p>
      <w:pPr>
        <w:pStyle w:val="BodyText"/>
      </w:pPr>
      <w:r>
        <w:t xml:space="preserve">3. Telecommunication Engineer Qualifications</w:t>
      </w:r>
    </w:p>
    <w:p>
      <w:pPr>
        <w:pStyle w:val="BodyText"/>
      </w:pPr>
      <w:r>
        <w:t xml:space="preserve">The</w:t>
      </w:r>
      <w:r>
        <w:t xml:space="preserve"> </w:t>
      </w:r>
      <w:r>
        <w:t xml:space="preserve">Telecommunication Engineer</w:t>
      </w:r>
      <w:r>
        <w:t xml:space="preserve"> </w:t>
      </w:r>
      <w:r>
        <w:t xml:space="preserve">assigned to this project shall hold a minimum of a Bachelor's degree in Telecommunication Engineering or Electrical Engineering from an accredited Indonesian university, possess a minimum of ten (10) years of progressive experience in enterprise and carrier-grade network design, and hold valid certifications including but not limited to CCNP/CCIE (Routing &amp; Switching), JNCIA/JNCIS (Juniper), and the Indonesian Professional Engineer (Ir.) title. The engineer shall be fully familiar with the regulatory framework governing telecommunications infrastructure in</w:t>
      </w:r>
      <w:r>
        <w:t xml:space="preserve"> </w:t>
      </w:r>
      <w:r>
        <w:t xml:space="preserve">Indonesia Jakarta</w:t>
      </w:r>
      <w:r>
        <w:t xml:space="preserve">, including Kominfo frequency allocation rules and building code requirements for data center and network room installations.</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the validity period shall require re-confirmation of pricing.</w:t>
      </w:r>
    </w:p>
    <w:p>
      <w:pPr>
        <w:numPr>
          <w:ilvl w:val="0"/>
          <w:numId w:val="1001"/>
        </w:numPr>
        <w:pStyle w:val="Compact"/>
      </w:pPr>
      <w:r>
        <w:t xml:space="preserve">Payment terms: 30% advance payment upon contract signing, 40% upon completion of design and site supervision milestones, and 30% upon final acceptance and handover of all documentation in Indonesia Jakarta.</w:t>
      </w:r>
    </w:p>
    <w:p>
      <w:pPr>
        <w:numPr>
          <w:ilvl w:val="0"/>
          <w:numId w:val="1001"/>
        </w:numPr>
        <w:pStyle w:val="Compact"/>
      </w:pPr>
      <w:r>
        <w:t xml:space="preserve">All payments shall be made via bank transfer to the account of PT Nusantara Telecommunications Solutions, Bank Mandiri, Account No. 137-00-0456789-3, in Indonesian Rupiah (IDR).</w:t>
      </w:r>
    </w:p>
    <w:p>
      <w:pPr>
        <w:numPr>
          <w:ilvl w:val="0"/>
          <w:numId w:val="1001"/>
        </w:numPr>
        <w:pStyle w:val="Compact"/>
      </w:pPr>
      <w:r>
        <w:t xml:space="preserve">The</w:t>
      </w:r>
      <w:r>
        <w:t xml:space="preserve"> </w:t>
      </w:r>
      <w:r>
        <w:t xml:space="preserve">Telecommunication Engineer</w:t>
      </w:r>
      <w:r>
        <w:t xml:space="preserve"> </w:t>
      </w:r>
      <w:r>
        <w:t xml:space="preserve">shall comply with all health, safety, and environmental (HSE) protocols at the project site in Indonesia Jakarta, including the use of personal protective equipment (PPE) and adherence to the client's site access procedures.</w:t>
      </w:r>
    </w:p>
    <w:p>
      <w:pPr>
        <w:numPr>
          <w:ilvl w:val="0"/>
          <w:numId w:val="1001"/>
        </w:numPr>
        <w:pStyle w:val="Compact"/>
      </w:pPr>
      <w:r>
        <w:t xml:space="preserve">Any change in scope, additional site locations, or extended timelines beyond the originally agreed schedule shall be subject to a revised</w:t>
      </w:r>
      <w:r>
        <w:t xml:space="preserve"> </w:t>
      </w:r>
      <w:r>
        <w:t xml:space="preserve">Quotation Estimate</w:t>
      </w:r>
      <w:r>
        <w:t xml:space="preserve"> </w:t>
      </w:r>
      <w:r>
        <w:t xml:space="preserve">and a formal change order signed by both parties.</w:t>
      </w:r>
    </w:p>
    <w:p>
      <w:pPr>
        <w:numPr>
          <w:ilvl w:val="0"/>
          <w:numId w:val="1001"/>
        </w:numPr>
        <w:pStyle w:val="Compact"/>
      </w:pPr>
      <w:r>
        <w:t xml:space="preserve">Confidentiality: All technical data, network diagrams, and proprietary information exchanged during the course of this engagement in Indonesia Jakarta shall be treated as strictly confidential and shall not be disclosed to any third party without written consent.</w:t>
      </w:r>
    </w:p>
    <w:p>
      <w:pPr>
        <w:numPr>
          <w:ilvl w:val="0"/>
          <w:numId w:val="1001"/>
        </w:numPr>
        <w:pStyle w:val="Compact"/>
      </w:pPr>
      <w:r>
        <w:t xml:space="preserve">This engagement is governed by the laws of the Republic of Indonesia. Any disputes arising from this</w:t>
      </w:r>
      <w:r>
        <w:t xml:space="preserve"> </w:t>
      </w:r>
      <w:r>
        <w:t xml:space="preserve">Quotation Estimate</w:t>
      </w:r>
      <w:r>
        <w:t xml:space="preserve"> </w:t>
      </w:r>
      <w:r>
        <w:t xml:space="preserve">or the resulting contract shall be resolved through arbitration at the Indonesian National Board of Arbitration (BANI) in Jakarta.</w:t>
      </w:r>
    </w:p>
    <w:p>
      <w:pPr>
        <w:numPr>
          <w:ilvl w:val="0"/>
          <w:numId w:val="1001"/>
        </w:numPr>
        <w:pStyle w:val="Compact"/>
      </w:pPr>
      <w:r>
        <w:t xml:space="preserve">The</w:t>
      </w:r>
      <w:r>
        <w:t xml:space="preserve"> </w:t>
      </w:r>
      <w:r>
        <w:t xml:space="preserve">Telecommunication Engineer</w:t>
      </w:r>
      <w:r>
        <w:t xml:space="preserve"> </w:t>
      </w:r>
      <w:r>
        <w:t xml:space="preserve">shall provide a weekly progress report to the client's project manager every Friday, detailing completed activities, upcoming tasks, and any risks or impediments encountered at the Indonesia Jakarta site.</w:t>
      </w:r>
    </w:p>
    <w:p>
      <w:pPr>
        <w:pStyle w:val="FirstParagraph"/>
      </w:pPr>
      <w:r>
        <w:t xml:space="preserve">5. Acceptance and Authorization</w:t>
      </w:r>
    </w:p>
    <w:p>
      <w:pPr>
        <w:pStyle w:val="BodyText"/>
      </w:pPr>
      <w:r>
        <w:t xml:space="preserve">By signing below, both parties acknowledge and agree to the terms, scope, and pricing outlined in this</w:t>
      </w:r>
      <w:r>
        <w:t xml:space="preserve"> </w:t>
      </w:r>
      <w:r>
        <w:t xml:space="preserve">Quotation Estimate</w:t>
      </w:r>
      <w:r>
        <w:t xml:space="preserve"> </w:t>
      </w:r>
      <w:r>
        <w:t xml:space="preserve">for the</w:t>
      </w:r>
      <w:r>
        <w:t xml:space="preserve"> </w:t>
      </w:r>
      <w:r>
        <w:t xml:space="preserve">Telecommunication Engineer</w:t>
      </w:r>
      <w:r>
        <w:t xml:space="preserve"> </w:t>
      </w:r>
      <w:r>
        <w:t xml:space="preserve">services to be delivered in</w:t>
      </w:r>
      <w:r>
        <w:t xml:space="preserve"> </w:t>
      </w:r>
      <w:r>
        <w:t xml:space="preserve">Indonesia Jakarta</w:t>
      </w:r>
      <w:r>
        <w:t xml:space="preserve">.</w:t>
      </w:r>
    </w:p>
    <w:p>
      <w:pPr>
        <w:pStyle w:val="BodyText"/>
      </w:pPr>
      <w:r>
        <w:rPr>
          <w:bCs/>
          <w:b/>
        </w:rPr>
        <w:t xml:space="preserve">For and on behalf of:</w:t>
      </w:r>
      <w:r>
        <w:br/>
      </w:r>
      <w:r>
        <w:t xml:space="preserve">PT Nusantara Telecommunications Solutions</w:t>
      </w:r>
      <w:r>
        <w:br/>
      </w:r>
      <w:r>
        <w:t xml:space="preserve">Name: ___________________________</w:t>
      </w:r>
      <w:r>
        <w:br/>
      </w:r>
      <w:r>
        <w:t xml:space="preserve">Title: General Manager</w:t>
      </w:r>
      <w:r>
        <w:br/>
      </w:r>
      <w:r>
        <w:t xml:space="preserve">Date: ___________________________</w:t>
      </w:r>
    </w:p>
    <w:p>
      <w:pPr>
        <w:pStyle w:val="BodyText"/>
      </w:pPr>
      <w:r>
        <w:rPr>
          <w:bCs/>
          <w:b/>
        </w:rPr>
        <w:t xml:space="preserve">For and on behalf of:</w:t>
      </w:r>
      <w:r>
        <w:br/>
      </w:r>
      <w:r>
        <w:t xml:space="preserve">PT Artha Digital Infrastructure</w:t>
      </w:r>
      <w:r>
        <w:br/>
      </w:r>
      <w:r>
        <w:t xml:space="preserve">Name: ___________________________</w:t>
      </w:r>
      <w:r>
        <w:br/>
      </w:r>
      <w:r>
        <w:t xml:space="preserve">Title: Director of Engineering</w:t>
      </w:r>
      <w:r>
        <w:br/>
      </w:r>
      <w:r>
        <w:t xml:space="preserve">Date: ___________________________</w:t>
      </w:r>
    </w:p>
    <w:p>
      <w:pPr>
        <w:pStyle w:val="BodyText"/>
      </w:pPr>
      <w:r>
        <w:t xml:space="preserve">This Quotation Estimate document was generated by PT Nusantara Telecommunications Solutions for the Telecommunication Engineer engagement in Indonesia Jakarta. Document Reference: QTE/2025/JKT/04782. Page 1 of 1.</w:t>
      </w:r>
    </w:p>
    <w:p>
      <w:pPr>
        <w:pStyle w:val="BodyText"/>
      </w:pPr>
      <w:r>
        <w:t xml:space="preserve">© 2025 PT Nusantara Telecommunications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Indonesia Jakarta</dc:title>
  <dc:creator/>
  <dc:language>en</dc:language>
  <cp:keywords/>
  <dcterms:created xsi:type="dcterms:W3CDTF">2026-10-10T03:10:55Z</dcterms:created>
  <dcterms:modified xsi:type="dcterms:W3CDTF">2026-10-10T03:10:55Z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