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 Telecom Solutions Co., Ltd.</w:t>
      </w:r>
    </w:p>
    <w:p>
      <w:pPr>
        <w:pStyle w:val="BodyText"/>
      </w:pPr>
      <w:r>
        <w:t xml:space="preserve">Address: No. 42, Valiasr Street, Enghelab Square, Tehran, Iran</w:t>
      </w:r>
    </w:p>
    <w:p>
      <w:pPr>
        <w:pStyle w:val="BodyText"/>
      </w:pPr>
      <w:r>
        <w:t xml:space="preserve">Phone: +98-21-8876-5432 | Email: info@persiatelecom.ir</w:t>
      </w:r>
    </w:p>
    <w:p>
      <w:pPr>
        <w:pStyle w:val="BodyText"/>
      </w:pPr>
      <w:r>
        <w:t xml:space="preserve">Registration No. 1045823 | Tax Code: 0087654321</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Iran Tehran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Tehran Metropolitan Development Authority (TMDA)</w:t>
            </w:r>
          </w:p>
        </w:tc>
      </w:tr>
      <w:tr>
        <w:tc>
          <w:tcPr/>
          <w:p>
            <w:pPr>
              <w:pStyle w:val="Compact"/>
              <w:jc w:val="left"/>
            </w:pPr>
            <w:r>
              <w:rPr>
                <w:bCs/>
                <w:b/>
              </w:rPr>
              <w:t xml:space="preserve">Contact Person:</w:t>
            </w:r>
          </w:p>
        </w:tc>
        <w:tc>
          <w:tcPr/>
          <w:p>
            <w:pPr>
              <w:pStyle w:val="Compact"/>
              <w:jc w:val="left"/>
            </w:pPr>
            <w:r>
              <w:t xml:space="preserve">Eng. Mohammad Reza Karimi, Director of Infrastructure</w:t>
            </w:r>
          </w:p>
        </w:tc>
      </w:tr>
      <w:tr>
        <w:tc>
          <w:tcPr/>
          <w:p>
            <w:pPr>
              <w:pStyle w:val="Compact"/>
              <w:jc w:val="left"/>
            </w:pPr>
            <w:r>
              <w:rPr>
                <w:bCs/>
                <w:b/>
              </w:rPr>
              <w:t xml:space="preserve">Address:</w:t>
            </w:r>
          </w:p>
        </w:tc>
        <w:tc>
          <w:tcPr/>
          <w:p>
            <w:pPr>
              <w:pStyle w:val="Compact"/>
              <w:jc w:val="left"/>
            </w:pPr>
            <w:r>
              <w:t xml:space="preserve">Shahid Beheshti Avenue, District 1, Iran Tehran</w:t>
            </w:r>
          </w:p>
        </w:tc>
      </w:tr>
      <w:tr>
        <w:tc>
          <w:tcPr/>
          <w:p>
            <w:pPr>
              <w:pStyle w:val="Compact"/>
              <w:jc w:val="left"/>
            </w:pPr>
            <w:r>
              <w:rPr>
                <w:bCs/>
                <w:b/>
              </w:rPr>
              <w:t xml:space="preserve">Project Site:</w:t>
            </w:r>
          </w:p>
        </w:tc>
        <w:tc>
          <w:tcPr/>
          <w:p>
            <w:pPr>
              <w:pStyle w:val="Compact"/>
              <w:jc w:val="left"/>
            </w:pPr>
            <w:r>
              <w:t xml:space="preserve">Municipal Building Complex, Enghelab Square, Iran Tehran</w:t>
            </w:r>
          </w:p>
        </w:tc>
      </w:tr>
    </w:tbl>
    <w:bookmarkEnd w:id="21"/>
    <w:bookmarkStart w:id="22" w:name="scope-of-work-and-description"/>
    <w:p>
      <w:pPr>
        <w:pStyle w:val="Heading2"/>
      </w:pPr>
      <w:r>
        <w:t xml:space="preserve">2. Scope of Work and Description</w:t>
      </w:r>
    </w:p>
    <w:p>
      <w:pPr>
        <w:pStyle w:val="FirstParagraph"/>
      </w:pPr>
      <w:r>
        <w:t xml:space="preserve">This</w:t>
      </w:r>
      <w:r>
        <w:t xml:space="preserve"> </w:t>
      </w:r>
      <w:r>
        <w:t xml:space="preserve">Quotation Estimate</w:t>
      </w:r>
      <w:r>
        <w:t xml:space="preserve"> </w:t>
      </w:r>
      <w:r>
        <w:t xml:space="preserve">is issued by Persia Telecom Solutions Co., Ltd. to provide comprehensive professional services of a certified</w:t>
      </w:r>
      <w:r>
        <w:t xml:space="preserve"> </w:t>
      </w:r>
      <w:r>
        <w:t xml:space="preserve">Telecommunication Engineer</w:t>
      </w:r>
      <w:r>
        <w:t xml:space="preserve"> </w:t>
      </w:r>
      <w:r>
        <w:t xml:space="preserve">for the design, installation, testing, and commissioning of the integrated telecommunications infrastructure at the Tehran Metropolitan Development Authority headquarters located in</w:t>
      </w:r>
      <w:r>
        <w:t xml:space="preserve"> </w:t>
      </w:r>
      <w:r>
        <w:t xml:space="preserve">Iran Tehran</w:t>
      </w:r>
      <w:r>
        <w:t xml:space="preserve">. The scope encompasses structured cabling, fiber optic backbone deployment, wireless LAN coverage, VoIP telephony systems, and network security architecture across a 12-story building complex with approximately 18,000 square meters of operational space.</w:t>
      </w:r>
    </w:p>
    <w:p>
      <w:pPr>
        <w:pStyle w:val="BodyText"/>
      </w:pPr>
      <w:r>
        <w:t xml:space="preserve">The</w:t>
      </w:r>
      <w:r>
        <w:t xml:space="preserve"> </w:t>
      </w:r>
      <w:r>
        <w:t xml:space="preserve">Telecommunication Engineer</w:t>
      </w:r>
      <w:r>
        <w:t xml:space="preserve"> </w:t>
      </w:r>
      <w:r>
        <w:t xml:space="preserve">assigned to this project will hold a minimum of 12 years of professional experience in enterprise-grade telecommunications systems, with specific expertise in Iranian national telecommunications standards (IRTC) and compliance with the regulatory framework established by the Iranian Telecommunication Regulatory Commission. All work will be executed in strict accordance with the project specifications provided by the client and applicable building codes in</w:t>
      </w:r>
      <w:r>
        <w:t xml:space="preserve"> </w:t>
      </w:r>
      <w:r>
        <w:t xml:space="preserve">Iran Tehran</w:t>
      </w:r>
      <w:r>
        <w:t xml:space="preserve">.</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Site survey, needs assessment, and preliminary design by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Detailed engineering design and documentation (structured cabling, fiber optic, wireless)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Structured copper cabling installation (Cat 6A) – 1,200 workstations</w:t>
            </w:r>
          </w:p>
        </w:tc>
        <w:tc>
          <w:tcPr/>
          <w:p>
            <w:pPr>
              <w:pStyle w:val="Compact"/>
              <w:jc w:val="left"/>
            </w:pPr>
            <w:r>
              <w:t xml:space="preserve">1,200</w:t>
            </w:r>
          </w:p>
        </w:tc>
        <w:tc>
          <w:tcPr/>
          <w:p>
            <w:pPr>
              <w:pStyle w:val="Compact"/>
              <w:jc w:val="left"/>
            </w:pPr>
            <w:r>
              <w:t xml:space="preserve">Point</w:t>
            </w:r>
          </w:p>
        </w:tc>
        <w:tc>
          <w:tcPr/>
          <w:p>
            <w:pPr>
              <w:pStyle w:val="Compact"/>
              <w:jc w:val="left"/>
            </w:pPr>
            <w:r>
              <w:t xml:space="preserve">4,500,000</w:t>
            </w:r>
          </w:p>
        </w:tc>
        <w:tc>
          <w:tcPr/>
          <w:p>
            <w:pPr>
              <w:pStyle w:val="Compact"/>
              <w:jc w:val="left"/>
            </w:pPr>
            <w:r>
              <w:t xml:space="preserve">5,400,000,000</w:t>
            </w:r>
          </w:p>
        </w:tc>
      </w:tr>
      <w:tr>
        <w:tc>
          <w:tcPr/>
          <w:p>
            <w:pPr>
              <w:pStyle w:val="Compact"/>
              <w:jc w:val="left"/>
            </w:pPr>
            <w:r>
              <w:t xml:space="preserve">04</w:t>
            </w:r>
          </w:p>
        </w:tc>
        <w:tc>
          <w:tcPr/>
          <w:p>
            <w:pPr>
              <w:pStyle w:val="Compact"/>
              <w:jc w:val="left"/>
            </w:pPr>
            <w:r>
              <w:t xml:space="preserve">Fiber optic backbone deployment (Single-mode, 48-core) – 3,500 meters</w:t>
            </w:r>
          </w:p>
        </w:tc>
        <w:tc>
          <w:tcPr/>
          <w:p>
            <w:pPr>
              <w:pStyle w:val="Compact"/>
              <w:jc w:val="left"/>
            </w:pPr>
            <w:r>
              <w:t xml:space="preserve">3,500</w:t>
            </w:r>
          </w:p>
        </w:tc>
        <w:tc>
          <w:tcPr/>
          <w:p>
            <w:pPr>
              <w:pStyle w:val="Compact"/>
              <w:jc w:val="left"/>
            </w:pPr>
            <w:r>
              <w:t xml:space="preserve">Meter</w:t>
            </w:r>
          </w:p>
        </w:tc>
        <w:tc>
          <w:tcPr/>
          <w:p>
            <w:pPr>
              <w:pStyle w:val="Compact"/>
              <w:jc w:val="left"/>
            </w:pPr>
            <w:r>
              <w:t xml:space="preserve">2,800,000</w:t>
            </w:r>
          </w:p>
        </w:tc>
        <w:tc>
          <w:tcPr/>
          <w:p>
            <w:pPr>
              <w:pStyle w:val="Compact"/>
              <w:jc w:val="left"/>
            </w:pPr>
            <w:r>
              <w:t xml:space="preserve">9,800,000,000</w:t>
            </w:r>
          </w:p>
        </w:tc>
      </w:tr>
      <w:tr>
        <w:tc>
          <w:tcPr/>
          <w:p>
            <w:pPr>
              <w:pStyle w:val="Compact"/>
              <w:jc w:val="left"/>
            </w:pPr>
            <w:r>
              <w:t xml:space="preserve">05</w:t>
            </w:r>
          </w:p>
        </w:tc>
        <w:tc>
          <w:tcPr/>
          <w:p>
            <w:pPr>
              <w:pStyle w:val="Compact"/>
              <w:jc w:val="left"/>
            </w:pPr>
            <w:r>
              <w:t xml:space="preserve">Wireless LAN access point installation and configuration (Wi-Fi 6E) – 96 APs</w:t>
            </w:r>
          </w:p>
        </w:tc>
        <w:tc>
          <w:tcPr/>
          <w:p>
            <w:pPr>
              <w:pStyle w:val="Compact"/>
              <w:jc w:val="left"/>
            </w:pPr>
            <w:r>
              <w:t xml:space="preserve">96</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1,776,000,000</w:t>
            </w:r>
          </w:p>
        </w:tc>
      </w:tr>
      <w:tr>
        <w:tc>
          <w:tcPr/>
          <w:p>
            <w:pPr>
              <w:pStyle w:val="Compact"/>
              <w:jc w:val="left"/>
            </w:pPr>
            <w:r>
              <w:t xml:space="preserve">06</w:t>
            </w:r>
          </w:p>
        </w:tc>
        <w:tc>
          <w:tcPr/>
          <w:p>
            <w:pPr>
              <w:pStyle w:val="Compact"/>
              <w:jc w:val="left"/>
            </w:pPr>
            <w:r>
              <w:t xml:space="preserve">VoIP telephony system design, installation, and integration – 600 extensions</w:t>
            </w:r>
          </w:p>
        </w:tc>
        <w:tc>
          <w:tcPr/>
          <w:p>
            <w:pPr>
              <w:pStyle w:val="Compact"/>
              <w:jc w:val="left"/>
            </w:pPr>
            <w:r>
              <w:t xml:space="preserve">600</w:t>
            </w:r>
          </w:p>
        </w:tc>
        <w:tc>
          <w:tcPr/>
          <w:p>
            <w:pPr>
              <w:pStyle w:val="Compact"/>
              <w:jc w:val="left"/>
            </w:pPr>
            <w:r>
              <w:t xml:space="preserve">Extension</w:t>
            </w:r>
          </w:p>
        </w:tc>
        <w:tc>
          <w:tcPr/>
          <w:p>
            <w:pPr>
              <w:pStyle w:val="Compact"/>
              <w:jc w:val="left"/>
            </w:pPr>
            <w:r>
              <w:t xml:space="preserve">7,200,000</w:t>
            </w:r>
          </w:p>
        </w:tc>
        <w:tc>
          <w:tcPr/>
          <w:p>
            <w:pPr>
              <w:pStyle w:val="Compact"/>
              <w:jc w:val="left"/>
            </w:pPr>
            <w:r>
              <w:t xml:space="preserve">4,320,000,000</w:t>
            </w:r>
          </w:p>
        </w:tc>
      </w:tr>
      <w:tr>
        <w:tc>
          <w:tcPr/>
          <w:p>
            <w:pPr>
              <w:pStyle w:val="Compact"/>
              <w:jc w:val="left"/>
            </w:pPr>
            <w:r>
              <w:t xml:space="preserve">07</w:t>
            </w:r>
          </w:p>
        </w:tc>
        <w:tc>
          <w:tcPr/>
          <w:p>
            <w:pPr>
              <w:pStyle w:val="Compact"/>
              <w:jc w:val="left"/>
            </w:pPr>
            <w:r>
              <w:t xml:space="preserve">Network security architecture (firewalls, IDS/IPS, VLAN segmentation)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08</w:t>
            </w:r>
          </w:p>
        </w:tc>
        <w:tc>
          <w:tcPr/>
          <w:p>
            <w:pPr>
              <w:pStyle w:val="Compact"/>
              <w:jc w:val="left"/>
            </w:pPr>
            <w:r>
              <w:t xml:space="preserve">Testing, commissioning, and performance validation by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09</w:t>
            </w:r>
          </w:p>
        </w:tc>
        <w:tc>
          <w:tcPr/>
          <w:p>
            <w:pPr>
              <w:pStyle w:val="Compact"/>
              <w:jc w:val="left"/>
            </w:pPr>
            <w:r>
              <w:t xml:space="preserve">Documentation, as-built drawings, and training for client IT staff</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10</w:t>
            </w:r>
          </w:p>
        </w:tc>
        <w:tc>
          <w:tcPr/>
          <w:p>
            <w:pPr>
              <w:pStyle w:val="Compact"/>
              <w:jc w:val="left"/>
            </w:pPr>
            <w:r>
              <w:t xml:space="preserve">Project management, supervision, and quality assurance (full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150,000,000</w:t>
            </w:r>
          </w:p>
        </w:tc>
        <w:tc>
          <w:tcPr/>
          <w:p>
            <w:pPr>
              <w:pStyle w:val="Compact"/>
              <w:jc w:val="left"/>
            </w:pPr>
            <w:r>
              <w:t xml:space="preserve">150,000,000</w:t>
            </w:r>
          </w:p>
        </w:tc>
      </w:tr>
      <w:tr>
        <w:tc>
          <w:tcPr>
            <w:gridSpan w:val="5"/>
          </w:tcPr>
          <w:p>
            <w:pPr>
              <w:pStyle w:val="Compact"/>
              <w:jc w:val="right"/>
            </w:pPr>
            <w:r>
              <w:t xml:space="preserve">SUBTOTAL</w:t>
            </w:r>
          </w:p>
        </w:tc>
        <w:tc>
          <w:tcPr/>
          <w:p>
            <w:pPr>
              <w:pStyle w:val="Compact"/>
              <w:jc w:val="left"/>
            </w:pPr>
            <w:r>
              <w:t xml:space="preserve">22,521,000,000</w:t>
            </w:r>
          </w:p>
        </w:tc>
      </w:tr>
      <w:tr>
        <w:tc>
          <w:tcPr>
            <w:gridSpan w:val="5"/>
          </w:tcPr>
          <w:p>
            <w:pPr>
              <w:pStyle w:val="Compact"/>
              <w:jc w:val="right"/>
            </w:pPr>
            <w:r>
              <w:t xml:space="preserve">VAT (10%)</w:t>
            </w:r>
          </w:p>
        </w:tc>
        <w:tc>
          <w:tcPr/>
          <w:p>
            <w:pPr>
              <w:pStyle w:val="Compact"/>
              <w:jc w:val="left"/>
            </w:pPr>
            <w:r>
              <w:t xml:space="preserve">2,252,100,000</w:t>
            </w:r>
          </w:p>
        </w:tc>
      </w:tr>
      <w:tr>
        <w:tc>
          <w:tcPr>
            <w:gridSpan w:val="5"/>
          </w:tcPr>
          <w:p>
            <w:pPr>
              <w:pStyle w:val="Compact"/>
              <w:jc w:val="right"/>
            </w:pPr>
            <w:r>
              <w:t xml:space="preserve">GRAND TOTAL (IRR)</w:t>
            </w:r>
          </w:p>
        </w:tc>
        <w:tc>
          <w:tcPr/>
          <w:p>
            <w:pPr>
              <w:pStyle w:val="Compact"/>
              <w:jc w:val="left"/>
            </w:pPr>
            <w:r>
              <w:t xml:space="preserve">24,773,100,000</w:t>
            </w:r>
          </w:p>
        </w:tc>
      </w:tr>
    </w:tbl>
    <w:p>
      <w:pPr>
        <w:pStyle w:val="BodyText"/>
      </w:pPr>
      <w:r>
        <w:rPr>
          <w:bCs/>
          <w:b/>
        </w:rPr>
        <w:t xml:space="preserve">Note:</w:t>
      </w:r>
      <w:r>
        <w:t xml:space="preserve"> </w:t>
      </w:r>
      <w:r>
        <w:t xml:space="preserve">All prices in this Quotation Estimate are quoted in Iranian Rials (IRR) and are inclusive of all materials, labor, tools, and equipment required for the Telecommunication Engineer services. Prices are valid for 30 calendar days from the date of issue. Any changes in scope or specifications in the Iran Tehran project site may result in a revised estimate.</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Start Date</w:t>
            </w:r>
          </w:p>
        </w:tc>
      </w:tr>
      <w:tr>
        <w:tc>
          <w:tcPr/>
          <w:p>
            <w:pPr>
              <w:pStyle w:val="Compact"/>
              <w:jc w:val="left"/>
            </w:pPr>
            <w:r>
              <w:t xml:space="preserve">Phase 1</w:t>
            </w:r>
          </w:p>
        </w:tc>
        <w:tc>
          <w:tcPr/>
          <w:p>
            <w:pPr>
              <w:pStyle w:val="Compact"/>
              <w:jc w:val="left"/>
            </w:pPr>
            <w:r>
              <w:t xml:space="preserve">Site survey and preliminary design</w:t>
            </w:r>
          </w:p>
        </w:tc>
        <w:tc>
          <w:tcPr/>
          <w:p>
            <w:pPr>
              <w:pStyle w:val="Compact"/>
              <w:jc w:val="left"/>
            </w:pPr>
            <w:r>
              <w:t xml:space="preserve">3 weeks</w:t>
            </w:r>
          </w:p>
        </w:tc>
        <w:tc>
          <w:tcPr/>
          <w:p>
            <w:pPr>
              <w:pStyle w:val="Compact"/>
              <w:jc w:val="left"/>
            </w:pPr>
            <w:r>
              <w:t xml:space="preserve">01 July 2025</w:t>
            </w:r>
          </w:p>
        </w:tc>
      </w:tr>
      <w:tr>
        <w:tc>
          <w:tcPr/>
          <w:p>
            <w:pPr>
              <w:pStyle w:val="Compact"/>
              <w:jc w:val="left"/>
            </w:pPr>
            <w:r>
              <w:t xml:space="preserve">Phase 2</w:t>
            </w:r>
          </w:p>
        </w:tc>
        <w:tc>
          <w:tcPr/>
          <w:p>
            <w:pPr>
              <w:pStyle w:val="Compact"/>
              <w:jc w:val="left"/>
            </w:pPr>
            <w:r>
              <w:t xml:space="preserve">Detailed design and client approval</w:t>
            </w:r>
          </w:p>
        </w:tc>
        <w:tc>
          <w:tcPr/>
          <w:p>
            <w:pPr>
              <w:pStyle w:val="Compact"/>
              <w:jc w:val="left"/>
            </w:pPr>
            <w:r>
              <w:t xml:space="preserve">4 weeks</w:t>
            </w:r>
          </w:p>
        </w:tc>
        <w:tc>
          <w:tcPr/>
          <w:p>
            <w:pPr>
              <w:pStyle w:val="Compact"/>
              <w:jc w:val="left"/>
            </w:pPr>
            <w:r>
              <w:t xml:space="preserve">22 July 2025</w:t>
            </w:r>
          </w:p>
        </w:tc>
      </w:tr>
      <w:tr>
        <w:tc>
          <w:tcPr/>
          <w:p>
            <w:pPr>
              <w:pStyle w:val="Compact"/>
              <w:jc w:val="left"/>
            </w:pPr>
            <w:r>
              <w:t xml:space="preserve">Phase 3</w:t>
            </w:r>
          </w:p>
        </w:tc>
        <w:tc>
          <w:tcPr/>
          <w:p>
            <w:pPr>
              <w:pStyle w:val="Compact"/>
              <w:jc w:val="left"/>
            </w:pPr>
            <w:r>
              <w:t xml:space="preserve">Physical installation (cabling, fiber, APs, VoIP)</w:t>
            </w:r>
          </w:p>
        </w:tc>
        <w:tc>
          <w:tcPr/>
          <w:p>
            <w:pPr>
              <w:pStyle w:val="Compact"/>
              <w:jc w:val="left"/>
            </w:pPr>
            <w:r>
              <w:t xml:space="preserve">10 weeks</w:t>
            </w:r>
          </w:p>
        </w:tc>
        <w:tc>
          <w:tcPr/>
          <w:p>
            <w:pPr>
              <w:pStyle w:val="Compact"/>
              <w:jc w:val="left"/>
            </w:pPr>
            <w:r>
              <w:t xml:space="preserve">19 August 2025</w:t>
            </w:r>
          </w:p>
        </w:tc>
      </w:tr>
      <w:tr>
        <w:tc>
          <w:tcPr/>
          <w:p>
            <w:pPr>
              <w:pStyle w:val="Compact"/>
              <w:jc w:val="left"/>
            </w:pPr>
            <w:r>
              <w:t xml:space="preserve">Phase 4</w:t>
            </w:r>
          </w:p>
        </w:tc>
        <w:tc>
          <w:tcPr/>
          <w:p>
            <w:pPr>
              <w:pStyle w:val="Compact"/>
              <w:jc w:val="left"/>
            </w:pPr>
            <w:r>
              <w:t xml:space="preserve">Testing, commissioning, and security configuration</w:t>
            </w:r>
          </w:p>
        </w:tc>
        <w:tc>
          <w:tcPr/>
          <w:p>
            <w:pPr>
              <w:pStyle w:val="Compact"/>
              <w:jc w:val="left"/>
            </w:pPr>
            <w:r>
              <w:t xml:space="preserve">3 weeks</w:t>
            </w:r>
          </w:p>
        </w:tc>
        <w:tc>
          <w:tcPr/>
          <w:p>
            <w:pPr>
              <w:pStyle w:val="Compact"/>
              <w:jc w:val="left"/>
            </w:pPr>
            <w:r>
              <w:t xml:space="preserve">03 November 2025</w:t>
            </w:r>
          </w:p>
        </w:tc>
      </w:tr>
      <w:tr>
        <w:tc>
          <w:tcPr/>
          <w:p>
            <w:pPr>
              <w:pStyle w:val="Compact"/>
              <w:jc w:val="left"/>
            </w:pPr>
            <w:r>
              <w:t xml:space="preserve">Phase 5</w:t>
            </w:r>
          </w:p>
        </w:tc>
        <w:tc>
          <w:tcPr/>
          <w:p>
            <w:pPr>
              <w:pStyle w:val="Compact"/>
              <w:jc w:val="left"/>
            </w:pPr>
            <w:r>
              <w:t xml:space="preserve">Documentation, training, and handover</w:t>
            </w:r>
          </w:p>
        </w:tc>
        <w:tc>
          <w:tcPr/>
          <w:p>
            <w:pPr>
              <w:pStyle w:val="Compact"/>
              <w:jc w:val="left"/>
            </w:pPr>
            <w:r>
              <w:t xml:space="preserve">2 weeks</w:t>
            </w:r>
          </w:p>
        </w:tc>
        <w:tc>
          <w:tcPr/>
          <w:p>
            <w:pPr>
              <w:pStyle w:val="Compact"/>
              <w:jc w:val="left"/>
            </w:pPr>
            <w:r>
              <w:t xml:space="preserve">24 November 2025</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30 days from the date of issue. Beyond this period, pricing may be subject to revision based on material cost fluctuations in the Iran Tehran market.</w:t>
      </w:r>
    </w:p>
    <w:p>
      <w:pPr>
        <w:numPr>
          <w:ilvl w:val="0"/>
          <w:numId w:val="1001"/>
        </w:numPr>
        <w:pStyle w:val="Compact"/>
      </w:pPr>
      <w:r>
        <w:t xml:space="preserve">Payment shall be made in four installments: 25% upon contract signing, 35% upon completion of Phase 3, 30% upon successful commissioning, and 10% upon final handover and acceptance.</w:t>
      </w:r>
    </w:p>
    <w:p>
      <w:pPr>
        <w:numPr>
          <w:ilvl w:val="0"/>
          <w:numId w:val="1001"/>
        </w:numPr>
        <w:pStyle w:val="Compact"/>
      </w:pPr>
      <w:r>
        <w:t xml:space="preserve">All payments shall be made in Iranian Rials (IRR) via bank transfer to the account designated by Persia Telecom Solutions Co., Ltd.</w:t>
      </w:r>
    </w:p>
    <w:p>
      <w:pPr>
        <w:numPr>
          <w:ilvl w:val="0"/>
          <w:numId w:val="1001"/>
        </w:numPr>
        <w:pStyle w:val="Compact"/>
      </w:pPr>
      <w:r>
        <w:t xml:space="preserve">The Telecommunication Engineer and all supporting personnel shall comply with all safety regulations, building codes, and telecommunications standards applicable in Iran Tehran.</w:t>
      </w:r>
    </w:p>
    <w:p>
      <w:pPr>
        <w:numPr>
          <w:ilvl w:val="0"/>
          <w:numId w:val="1001"/>
        </w:numPr>
        <w:pStyle w:val="Compact"/>
      </w:pPr>
      <w:r>
        <w:t xml:space="preserve">A comprehensive warranty of 24 months shall be provided on all installed systems and workmanship from the date of final acceptance.</w:t>
      </w:r>
    </w:p>
    <w:p>
      <w:pPr>
        <w:numPr>
          <w:ilvl w:val="0"/>
          <w:numId w:val="1001"/>
        </w:numPr>
        <w:pStyle w:val="Compact"/>
      </w:pPr>
      <w:r>
        <w:t xml:space="preserve">Any change in scope, additional work, or modifications requested by the client after the initial design approval shall be subject to a separate supplementary Quotation Estimate.</w:t>
      </w:r>
    </w:p>
    <w:p>
      <w:pPr>
        <w:numPr>
          <w:ilvl w:val="0"/>
          <w:numId w:val="1001"/>
        </w:numPr>
        <w:pStyle w:val="Compact"/>
      </w:pPr>
      <w:r>
        <w:t xml:space="preserve">The contractor shall maintain adequate insurance coverage for all personnel and equipment throughout the project duration at the Iran Tehran site.</w:t>
      </w:r>
    </w:p>
    <w:p>
      <w:pPr>
        <w:numPr>
          <w:ilvl w:val="0"/>
          <w:numId w:val="1001"/>
        </w:numPr>
        <w:pStyle w:val="Compact"/>
      </w:pPr>
      <w:r>
        <w:t xml:space="preserve">Disputes arising from this agreement shall be resolved through arbitration in accordance with the laws of the Islamic Republic of Iran, with the seat of arbitration in Tehran.</w:t>
      </w:r>
    </w:p>
    <w:p>
      <w:pPr>
        <w:numPr>
          <w:ilvl w:val="0"/>
          <w:numId w:val="1001"/>
        </w:numPr>
        <w:pStyle w:val="Compact"/>
      </w:pPr>
      <w:r>
        <w:t xml:space="preserve">The client shall provide the Telecommunication Engineer with full and unrestricted access to all areas of the building complex during working hours (08:00 to 17:00, Sunday to Thursday).</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scope of work, and pricing outlined in this Quotation Estimate for the Telecommunication Engineer services to be performed in Iran Tehran. This document, once signed by both parties, shall constitute a binding agreement for the execution of the project.</w:t>
      </w:r>
    </w:p>
    <w:bookmarkStart w:id="26" w:name="prepared-and-issued-by"/>
    <w:p>
      <w:pPr>
        <w:pStyle w:val="Heading3"/>
      </w:pPr>
      <w:r>
        <w:t xml:space="preserve">Prepared and Issued By:</w:t>
      </w:r>
    </w:p>
    <w:p>
      <w:pPr>
        <w:pStyle w:val="FirstParagraph"/>
      </w:pPr>
      <w:r>
        <w:rPr>
          <w:bCs/>
          <w:b/>
        </w:rPr>
        <w:t xml:space="preserve">Persia Telecom Solutions Co., Ltd.</w:t>
      </w:r>
    </w:p>
    <w:p>
      <w:pPr>
        <w:pStyle w:val="BodyText"/>
      </w:pPr>
      <w:r>
        <w:t xml:space="preserve">Name: Eng. Ali Hosseini</w:t>
      </w:r>
    </w:p>
    <w:p>
      <w:pPr>
        <w:pStyle w:val="BodyText"/>
      </w:pPr>
      <w:r>
        <w:t xml:space="preserve">Title: Chief Telecommunication Engineer</w:t>
      </w:r>
    </w:p>
    <w:p>
      <w:pPr>
        <w:pStyle w:val="BodyText"/>
      </w:pPr>
      <w:r>
        <w:t xml:space="preserve">Date: 15 June 2025</w:t>
      </w:r>
    </w:p>
    <w:p>
      <w:pPr>
        <w:pStyle w:val="BodyText"/>
      </w:pPr>
      <w:r>
        <w:t xml:space="preserve">Signature &amp; Company Stamp</w:t>
      </w:r>
    </w:p>
    <w:bookmarkEnd w:id="26"/>
    <w:bookmarkStart w:id="27" w:name="reviewed-and-accepted-by"/>
    <w:p>
      <w:pPr>
        <w:pStyle w:val="Heading3"/>
      </w:pPr>
      <w:r>
        <w:t xml:space="preserve">Reviewed and Accepted By:</w:t>
      </w:r>
    </w:p>
    <w:p>
      <w:pPr>
        <w:pStyle w:val="FirstParagraph"/>
      </w:pPr>
      <w:r>
        <w:rPr>
          <w:bCs/>
          <w:b/>
        </w:rPr>
        <w:t xml:space="preserve">Tehran Metropolitan Development Authority</w:t>
      </w:r>
    </w:p>
    <w:p>
      <w:pPr>
        <w:pStyle w:val="BodyText"/>
      </w:pPr>
      <w:r>
        <w:t xml:space="preserve">Name: Eng. Mohammad Reza Karimi</w:t>
      </w:r>
    </w:p>
    <w:p>
      <w:pPr>
        <w:pStyle w:val="BodyText"/>
      </w:pPr>
      <w:r>
        <w:t xml:space="preserve">Title: Director of Infrastructure</w:t>
      </w:r>
    </w:p>
    <w:p>
      <w:pPr>
        <w:pStyle w:val="BodyText"/>
      </w:pPr>
      <w:r>
        <w:t xml:space="preserve">Date: _______________</w:t>
      </w:r>
    </w:p>
    <w:p>
      <w:pPr>
        <w:pStyle w:val="BodyText"/>
      </w:pPr>
      <w:r>
        <w:t xml:space="preserve">Signature &amp; Company Stamp</w:t>
      </w:r>
    </w:p>
    <w:bookmarkEnd w:id="27"/>
    <w:p>
      <w:pPr>
        <w:pStyle w:val="BodyText"/>
      </w:pPr>
      <w:r>
        <w:t xml:space="preserve">This Quotation Estimate document (Ref: QTE-2025-04871) is issued exclusively for the Telecommunication Engineer services project in Iran Tehran. Unauthorized reproduction or distribution is prohibited.</w:t>
      </w:r>
    </w:p>
    <w:p>
      <w:pPr>
        <w:pStyle w:val="BodyText"/>
      </w:pPr>
      <w:r>
        <w:t xml:space="preserve">Persia Telecom Solutions Co., Ltd. | Tehran, Iran | www.persiatelecom.ir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Iran Tehran</dc:title>
  <dc:creator/>
  <dc:language>en</dc:language>
  <cp:keywords/>
  <dcterms:created xsi:type="dcterms:W3CDTF">2026-10-10T02:09:15Z</dcterms:created>
  <dcterms:modified xsi:type="dcterms:W3CDTF">2026-10-10T02:09:15Z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