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quotation-estimate"/>
    <w:p>
      <w:pPr>
        <w:pStyle w:val="Heading1"/>
      </w:pPr>
      <w:r>
        <w:t xml:space="preserve">Quotation Estimate</w:t>
      </w:r>
    </w:p>
    <w:p>
      <w:pPr>
        <w:pStyle w:val="FirstParagraph"/>
      </w:pPr>
      <w:r>
        <w:t xml:space="preserve">Professional Telecommunication Engineer Services — Israel Tel Aviv</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QTE-2025-TLV-0472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c>
          <w:tcPr/>
          <w:p>
            <w:pPr>
              <w:pStyle w:val="Compact"/>
              <w:jc w:val="left"/>
            </w:pPr>
            <w:r>
              <w:t xml:space="preserve">Currency</w:t>
            </w:r>
          </w:p>
        </w:tc>
        <w:tc>
          <w:tcPr/>
          <w:p>
            <w:pPr>
              <w:pStyle w:val="Compact"/>
              <w:jc w:val="left"/>
            </w:pPr>
            <w:r>
              <w:t xml:space="preserve">Israeli New Shekel (ILS / –)</w:t>
            </w:r>
          </w:p>
        </w:tc>
      </w:tr>
      <w:tr>
        <w:tc>
          <w:tcPr/>
          <w:p>
            <w:pPr>
              <w:pStyle w:val="Compact"/>
              <w:jc w:val="left"/>
            </w:pPr>
            <w:r>
              <w:t xml:space="preserve">Prepared By</w:t>
            </w:r>
          </w:p>
        </w:tc>
        <w:tc>
          <w:tcPr/>
          <w:p>
            <w:pPr>
              <w:pStyle w:val="Compact"/>
              <w:jc w:val="left"/>
            </w:pPr>
            <w:r>
              <w:t xml:space="preserve">Merav Cohen, Senior Telecommunication Engineer</w:t>
            </w:r>
          </w:p>
        </w:tc>
        <w:tc>
          <w:tcPr/>
          <w:p>
            <w:pPr>
              <w:pStyle w:val="Compact"/>
              <w:jc w:val="left"/>
            </w:pPr>
            <w:r>
              <w:t xml:space="preserve">Company</w:t>
            </w:r>
          </w:p>
        </w:tc>
        <w:tc>
          <w:tcPr/>
          <w:p>
            <w:pPr>
              <w:pStyle w:val="Compact"/>
              <w:jc w:val="left"/>
            </w:pPr>
            <w:r>
              <w:t xml:space="preserve">Negev Telecom Solutions Ltd., Tel Aviv, Israel</w:t>
            </w:r>
          </w:p>
        </w:tc>
      </w:tr>
      <w:tr>
        <w:tc>
          <w:tcPr/>
          <w:p>
            <w:pPr>
              <w:pStyle w:val="Compact"/>
              <w:jc w:val="left"/>
            </w:pPr>
            <w:r>
              <w:t xml:space="preserve">Client</w:t>
            </w:r>
          </w:p>
        </w:tc>
        <w:tc>
          <w:tcPr/>
          <w:p>
            <w:pPr>
              <w:pStyle w:val="Compact"/>
              <w:jc w:val="left"/>
            </w:pPr>
            <w:r>
              <w:t xml:space="preserve">Horizon Business Park, 45 Dizengoff Street, Tel Aviv, Israel</w:t>
            </w:r>
          </w:p>
        </w:tc>
        <w:tc>
          <w:tcPr/>
          <w:p>
            <w:pPr>
              <w:pStyle w:val="Compact"/>
              <w:jc w:val="left"/>
            </w:pPr>
            <w:r>
              <w:t xml:space="preserve">Contact</w:t>
            </w:r>
          </w:p>
        </w:tc>
        <w:tc>
          <w:tcPr/>
          <w:p>
            <w:pPr>
              <w:pStyle w:val="Compact"/>
              <w:jc w:val="left"/>
            </w:pPr>
            <w:r>
              <w:t xml:space="preserve">Mr. Daniel Peretz, Facilities Director</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Negev Telecom Solutions Ltd. to provide a comprehensive, itemised cost breakdown for the engagement of a certified</w:t>
      </w:r>
      <w:r>
        <w:t xml:space="preserve"> </w:t>
      </w:r>
      <w:r>
        <w:t xml:space="preserve">Telecommunication Engineer</w:t>
      </w:r>
      <w:r>
        <w:t xml:space="preserve"> </w:t>
      </w:r>
      <w:r>
        <w:t xml:space="preserve">to design, install, test, and commission a full-spectrum telecommunications infrastructure upgrade at the client’s premises located in</w:t>
      </w:r>
      <w:r>
        <w:t xml:space="preserve"> </w:t>
      </w:r>
      <w:r>
        <w:t xml:space="preserve">Israel Tel Aviv</w:t>
      </w:r>
      <w:r>
        <w:t xml:space="preserve">. This document serves as a formal, non-binding estimate of all anticipated professional fees, material costs, and ancillary charges associated with the described scope of work. All pricing reflects current market rates applicable to the Tel Aviv metropolitan area as of the date of issue.</w:t>
      </w:r>
    </w:p>
    <w:bookmarkEnd w:id="21"/>
    <w:bookmarkStart w:id="22" w:name="X95067ef301e04c13d50963faee2dec0659d7053"/>
    <w:p>
      <w:pPr>
        <w:pStyle w:val="Heading2"/>
      </w:pPr>
      <w:r>
        <w:t xml:space="preserve">2. Scope of Work — Telecommunication Engineer Services</w:t>
      </w:r>
    </w:p>
    <w:p>
      <w:pPr>
        <w:pStyle w:val="FirstParagraph"/>
      </w:pPr>
      <w:r>
        <w:t xml:space="preserve">The assigned</w:t>
      </w:r>
      <w:r>
        <w:t xml:space="preserve"> </w:t>
      </w:r>
      <w:r>
        <w:t xml:space="preserve">Telecommunication Engineer</w:t>
      </w:r>
      <w:r>
        <w:t xml:space="preserve"> </w:t>
      </w:r>
      <w:r>
        <w:t xml:space="preserve">will deliver the following services in accordance with Israeli Standards (SII) and the regulations of the Israeli Communications Authority (Rashut HaTikshoret):</w:t>
      </w:r>
    </w:p>
    <w:p>
      <w:pPr>
        <w:numPr>
          <w:ilvl w:val="0"/>
          <w:numId w:val="1001"/>
        </w:numPr>
        <w:pStyle w:val="Compact"/>
      </w:pPr>
      <w:r>
        <w:t xml:space="preserve">Site survey and RF propagation analysis across all 12 floors of the Horizon Business Park building in Tel Aviv.</w:t>
      </w:r>
    </w:p>
    <w:p>
      <w:pPr>
        <w:numPr>
          <w:ilvl w:val="0"/>
          <w:numId w:val="1001"/>
        </w:numPr>
        <w:pStyle w:val="Compact"/>
      </w:pPr>
      <w:r>
        <w:t xml:space="preserve">Design of a structured cabling system (Cat 6A and single-mode fibre) compliant with TIA-568 and SII 5220 standards.</w:t>
      </w:r>
    </w:p>
    <w:p>
      <w:pPr>
        <w:numPr>
          <w:ilvl w:val="0"/>
          <w:numId w:val="1001"/>
        </w:numPr>
        <w:pStyle w:val="Compact"/>
      </w:pPr>
      <w:r>
        <w:t xml:space="preserve">Installation and configuration of a 48-port core switch, 12 access-layer switches, and a redundant Wi-Fi 6E wireless access point network.</w:t>
      </w:r>
    </w:p>
    <w:p>
      <w:pPr>
        <w:numPr>
          <w:ilvl w:val="0"/>
          <w:numId w:val="1001"/>
        </w:numPr>
        <w:pStyle w:val="Compact"/>
      </w:pPr>
      <w:r>
        <w:t xml:space="preserve">Deployment of a VoIP telephony platform supporting 200 concurrent extensions with SIP trunking to Bezeq and Partner carriers.</w:t>
      </w:r>
    </w:p>
    <w:p>
      <w:pPr>
        <w:numPr>
          <w:ilvl w:val="0"/>
          <w:numId w:val="1001"/>
        </w:numPr>
        <w:pStyle w:val="Compact"/>
      </w:pPr>
      <w:r>
        <w:t xml:space="preserve">Integration of a dedicated MPLS WAN link connecting the Tel Aviv office to the client’s regional data centre in Haifa.</w:t>
      </w:r>
    </w:p>
    <w:p>
      <w:pPr>
        <w:numPr>
          <w:ilvl w:val="0"/>
          <w:numId w:val="1001"/>
        </w:numPr>
        <w:pStyle w:val="Compact"/>
      </w:pPr>
      <w:r>
        <w:t xml:space="preserve">Installation of a lightning-protection and surge-protective grounding system for all outdoor antenna and cable entries.</w:t>
      </w:r>
    </w:p>
    <w:p>
      <w:pPr>
        <w:numPr>
          <w:ilvl w:val="0"/>
          <w:numId w:val="1001"/>
        </w:numPr>
        <w:pStyle w:val="Compact"/>
      </w:pPr>
      <w:r>
        <w:t xml:space="preserve">Full system testing, certification (Fluke DSX-8000), and documentation handover.</w:t>
      </w:r>
    </w:p>
    <w:p>
      <w:pPr>
        <w:numPr>
          <w:ilvl w:val="0"/>
          <w:numId w:val="1001"/>
        </w:numPr>
        <w:pStyle w:val="Compact"/>
      </w:pPr>
      <w:r>
        <w:t xml:space="preserve">On-site training session (4 hours) for the client’s IT staff on network management and basic troubleshooting.</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(ILS)</w:t>
            </w:r>
          </w:p>
        </w:tc>
        <w:tc>
          <w:tcPr/>
          <w:p>
            <w:pPr>
              <w:pStyle w:val="Compact"/>
              <w:jc w:val="left"/>
            </w:pPr>
            <w:r>
              <w:t xml:space="preserve">Total (ILS)</w:t>
            </w:r>
          </w:p>
        </w:tc>
      </w:tr>
      <w:tr>
        <w:tc>
          <w:tcPr/>
          <w:p>
            <w:pPr>
              <w:pStyle w:val="Compact"/>
              <w:jc w:val="left"/>
            </w:pPr>
            <w:r>
              <w:t xml:space="preserve">1</w:t>
            </w:r>
          </w:p>
        </w:tc>
        <w:tc>
          <w:tcPr/>
          <w:p>
            <w:pPr>
              <w:pStyle w:val="Compact"/>
              <w:jc w:val="left"/>
            </w:pPr>
            <w:r>
              <w:t xml:space="preserve">Telecommunication Engineer — Site survey, RF analysis &amp; design documentation (Tel Aviv, Israel)</w:t>
            </w:r>
          </w:p>
        </w:tc>
        <w:tc>
          <w:tcPr/>
          <w:p>
            <w:pPr>
              <w:pStyle w:val="Compact"/>
              <w:jc w:val="left"/>
            </w:pPr>
            <w:r>
              <w:t xml:space="preserve">1 lot</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Telecommunication Engineer — Structured cabling installation (Cat 6A + SM fibre), 12 floors</w:t>
            </w:r>
          </w:p>
        </w:tc>
        <w:tc>
          <w:tcPr/>
          <w:p>
            <w:pPr>
              <w:pStyle w:val="Compact"/>
              <w:jc w:val="left"/>
            </w:pPr>
            <w:r>
              <w:t xml:space="preserve">1 lot</w:t>
            </w:r>
          </w:p>
        </w:tc>
        <w:tc>
          <w:tcPr/>
          <w:p>
            <w:pPr>
              <w:pStyle w:val="Compact"/>
              <w:jc w:val="left"/>
            </w:pPr>
            <w:r>
              <w:t xml:space="preserve">96,000</w:t>
            </w:r>
          </w:p>
        </w:tc>
        <w:tc>
          <w:tcPr/>
          <w:p>
            <w:pPr>
              <w:pStyle w:val="Compact"/>
              <w:jc w:val="left"/>
            </w:pPr>
            <w:r>
              <w:t xml:space="preserve">96,000</w:t>
            </w:r>
          </w:p>
        </w:tc>
      </w:tr>
      <w:tr>
        <w:tc>
          <w:tcPr/>
          <w:p>
            <w:pPr>
              <w:pStyle w:val="Compact"/>
              <w:jc w:val="left"/>
            </w:pPr>
            <w:r>
              <w:t xml:space="preserve">3</w:t>
            </w:r>
          </w:p>
        </w:tc>
        <w:tc>
          <w:tcPr/>
          <w:p>
            <w:pPr>
              <w:pStyle w:val="Compact"/>
              <w:jc w:val="left"/>
            </w:pPr>
            <w:r>
              <w:t xml:space="preserve">Core &amp; access-layer switching hardware (48-port core, 12× 24-port access)</w:t>
            </w:r>
          </w:p>
        </w:tc>
        <w:tc>
          <w:tcPr/>
          <w:p>
            <w:pPr>
              <w:pStyle w:val="Compact"/>
              <w:jc w:val="left"/>
            </w:pPr>
            <w:r>
              <w:t xml:space="preserve">13 units</w:t>
            </w:r>
          </w:p>
        </w:tc>
        <w:tc>
          <w:tcPr/>
          <w:p>
            <w:pPr>
              <w:pStyle w:val="Compact"/>
              <w:jc w:val="left"/>
            </w:pPr>
            <w:r>
              <w:t xml:space="preserve">4,200</w:t>
            </w:r>
          </w:p>
        </w:tc>
        <w:tc>
          <w:tcPr/>
          <w:p>
            <w:pPr>
              <w:pStyle w:val="Compact"/>
              <w:jc w:val="left"/>
            </w:pPr>
            <w:r>
              <w:t xml:space="preserve">54,600</w:t>
            </w:r>
          </w:p>
        </w:tc>
      </w:tr>
      <w:tr>
        <w:tc>
          <w:tcPr/>
          <w:p>
            <w:pPr>
              <w:pStyle w:val="Compact"/>
              <w:jc w:val="left"/>
            </w:pPr>
            <w:r>
              <w:t xml:space="preserve">4</w:t>
            </w:r>
          </w:p>
        </w:tc>
        <w:tc>
          <w:tcPr/>
          <w:p>
            <w:pPr>
              <w:pStyle w:val="Compact"/>
              <w:jc w:val="left"/>
            </w:pPr>
            <w:r>
              <w:t xml:space="preserve">Wi-Fi 6E wireless access point network (36 APs, ceiling-mounted, Tel Aviv site)</w:t>
            </w:r>
          </w:p>
        </w:tc>
        <w:tc>
          <w:tcPr/>
          <w:p>
            <w:pPr>
              <w:pStyle w:val="Compact"/>
              <w:jc w:val="left"/>
            </w:pPr>
            <w:r>
              <w:t xml:space="preserve">36 units</w:t>
            </w:r>
          </w:p>
        </w:tc>
        <w:tc>
          <w:tcPr/>
          <w:p>
            <w:pPr>
              <w:pStyle w:val="Compact"/>
              <w:jc w:val="left"/>
            </w:pPr>
            <w:r>
              <w:t xml:space="preserve">3,800</w:t>
            </w:r>
          </w:p>
        </w:tc>
        <w:tc>
          <w:tcPr/>
          <w:p>
            <w:pPr>
              <w:pStyle w:val="Compact"/>
              <w:jc w:val="left"/>
            </w:pPr>
            <w:r>
              <w:t xml:space="preserve">136,800</w:t>
            </w:r>
          </w:p>
        </w:tc>
      </w:tr>
      <w:tr>
        <w:tc>
          <w:tcPr/>
          <w:p>
            <w:pPr>
              <w:pStyle w:val="Compact"/>
              <w:jc w:val="left"/>
            </w:pPr>
            <w:r>
              <w:t xml:space="preserve">5</w:t>
            </w:r>
          </w:p>
        </w:tc>
        <w:tc>
          <w:tcPr/>
          <w:p>
            <w:pPr>
              <w:pStyle w:val="Compact"/>
              <w:jc w:val="left"/>
            </w:pPr>
            <w:r>
              <w:t xml:space="preserve">VoIP telephony platform — licensing, SIP trunk setup (Bezeq/Partner), 200 extensions</w:t>
            </w:r>
          </w:p>
        </w:tc>
        <w:tc>
          <w:tcPr/>
          <w:p>
            <w:pPr>
              <w:pStyle w:val="Compact"/>
              <w:jc w:val="left"/>
            </w:pPr>
            <w:r>
              <w:t xml:space="preserve">1 lot</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6</w:t>
            </w:r>
          </w:p>
        </w:tc>
        <w:tc>
          <w:tcPr/>
          <w:p>
            <w:pPr>
              <w:pStyle w:val="Compact"/>
              <w:jc w:val="left"/>
            </w:pPr>
            <w:r>
              <w:t xml:space="preserve">MPLS WAN link provisioning &amp; configuration (Tel Aviv ↔ Haifa, 1 Gbps)</w:t>
            </w:r>
          </w:p>
        </w:tc>
        <w:tc>
          <w:tcPr/>
          <w:p>
            <w:pPr>
              <w:pStyle w:val="Compact"/>
              <w:jc w:val="left"/>
            </w:pPr>
            <w:r>
              <w:t xml:space="preserve">1 lot</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7</w:t>
            </w:r>
          </w:p>
        </w:tc>
        <w:tc>
          <w:tcPr/>
          <w:p>
            <w:pPr>
              <w:pStyle w:val="Compact"/>
              <w:jc w:val="left"/>
            </w:pPr>
            <w:r>
              <w:t xml:space="preserve">Lightning protection, surge suppression &amp; grounding system</w:t>
            </w:r>
          </w:p>
        </w:tc>
        <w:tc>
          <w:tcPr/>
          <w:p>
            <w:pPr>
              <w:pStyle w:val="Compact"/>
              <w:jc w:val="left"/>
            </w:pPr>
            <w:r>
              <w:t xml:space="preserve">1 lot</w:t>
            </w:r>
          </w:p>
        </w:tc>
        <w:tc>
          <w:tcPr/>
          <w:p>
            <w:pPr>
              <w:pStyle w:val="Compact"/>
              <w:jc w:val="left"/>
            </w:pPr>
            <w:r>
              <w:t xml:space="preserve">15,500</w:t>
            </w:r>
          </w:p>
        </w:tc>
        <w:tc>
          <w:tcPr/>
          <w:p>
            <w:pPr>
              <w:pStyle w:val="Compact"/>
              <w:jc w:val="left"/>
            </w:pPr>
            <w:r>
              <w:t xml:space="preserve">15,500</w:t>
            </w:r>
          </w:p>
        </w:tc>
      </w:tr>
      <w:tr>
        <w:tc>
          <w:tcPr/>
          <w:p>
            <w:pPr>
              <w:pStyle w:val="Compact"/>
              <w:jc w:val="left"/>
            </w:pPr>
            <w:r>
              <w:t xml:space="preserve">8</w:t>
            </w:r>
          </w:p>
        </w:tc>
        <w:tc>
          <w:tcPr/>
          <w:p>
            <w:pPr>
              <w:pStyle w:val="Compact"/>
              <w:jc w:val="left"/>
            </w:pPr>
            <w:r>
              <w:t xml:space="preserve">System testing, Fluke certification &amp; as-built documentation</w:t>
            </w:r>
          </w:p>
        </w:tc>
        <w:tc>
          <w:tcPr/>
          <w:p>
            <w:pPr>
              <w:pStyle w:val="Compact"/>
              <w:jc w:val="left"/>
            </w:pPr>
            <w:r>
              <w:t xml:space="preserve">1 lot</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9</w:t>
            </w:r>
          </w:p>
        </w:tc>
        <w:tc>
          <w:tcPr/>
          <w:p>
            <w:pPr>
              <w:pStyle w:val="Compact"/>
              <w:jc w:val="left"/>
            </w:pPr>
            <w:r>
              <w:t xml:space="preserve">On-site client training (4 hours, Tel Aviv office)</w:t>
            </w:r>
          </w:p>
        </w:tc>
        <w:tc>
          <w:tcPr/>
          <w:p>
            <w:pPr>
              <w:pStyle w:val="Compact"/>
              <w:jc w:val="left"/>
            </w:pPr>
            <w:r>
              <w:t xml:space="preserve">1 session</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10</w:t>
            </w:r>
          </w:p>
        </w:tc>
        <w:tc>
          <w:tcPr/>
          <w:p>
            <w:pPr>
              <w:pStyle w:val="Compact"/>
              <w:jc w:val="left"/>
            </w:pPr>
            <w:r>
              <w:t xml:space="preserve">Project management, coordination &amp; Israeli Communications Authority permit filings</w:t>
            </w:r>
          </w:p>
        </w:tc>
        <w:tc>
          <w:tcPr/>
          <w:p>
            <w:pPr>
              <w:pStyle w:val="Compact"/>
              <w:jc w:val="left"/>
            </w:pPr>
            <w:r>
              <w:t xml:space="preserve">1 lot</w:t>
            </w:r>
          </w:p>
        </w:tc>
        <w:tc>
          <w:tcPr/>
          <w:p>
            <w:pPr>
              <w:pStyle w:val="Compact"/>
              <w:jc w:val="left"/>
            </w:pPr>
            <w:r>
              <w:t xml:space="preserve">14,000</w:t>
            </w:r>
          </w:p>
        </w:tc>
        <w:tc>
          <w:tcPr/>
          <w:p>
            <w:pPr>
              <w:pStyle w:val="Compact"/>
              <w:jc w:val="left"/>
            </w:pPr>
            <w:r>
              <w:t xml:space="preserve">14,000</w:t>
            </w:r>
          </w:p>
        </w:tc>
      </w:tr>
      <w:tr>
        <w:tc>
          <w:tcPr>
            <w:gridSpan w:val="4"/>
          </w:tcPr>
          <w:p>
            <w:pPr>
              <w:pStyle w:val="Compact"/>
              <w:jc w:val="right"/>
            </w:pPr>
            <w:r>
              <w:t xml:space="preserve">Subtotal (excl. VAT)</w:t>
            </w:r>
          </w:p>
        </w:tc>
        <w:tc>
          <w:tcPr/>
          <w:p>
            <w:pPr>
              <w:pStyle w:val="Compact"/>
              <w:jc w:val="left"/>
            </w:pPr>
            <w:r>
              <w:t xml:space="preserve">423,900</w:t>
            </w:r>
          </w:p>
        </w:tc>
      </w:tr>
      <w:tr>
        <w:tc>
          <w:tcPr>
            <w:gridSpan w:val="4"/>
          </w:tcPr>
          <w:p>
            <w:pPr>
              <w:pStyle w:val="Compact"/>
              <w:jc w:val="right"/>
            </w:pPr>
            <w:r>
              <w:t xml:space="preserve">VAT @ 18% (Israel)</w:t>
            </w:r>
          </w:p>
        </w:tc>
        <w:tc>
          <w:tcPr/>
          <w:p>
            <w:pPr>
              <w:pStyle w:val="Compact"/>
              <w:jc w:val="left"/>
            </w:pPr>
            <w:r>
              <w:t xml:space="preserve">76,302</w:t>
            </w:r>
          </w:p>
        </w:tc>
      </w:tr>
      <w:tr>
        <w:tc>
          <w:tcPr>
            <w:gridSpan w:val="4"/>
          </w:tcPr>
          <w:p>
            <w:pPr>
              <w:pStyle w:val="Compact"/>
              <w:jc w:val="right"/>
            </w:pPr>
            <w:r>
              <w:t xml:space="preserve">GRAND TOTAL (incl. VAT)</w:t>
            </w:r>
          </w:p>
        </w:tc>
        <w:tc>
          <w:tcPr/>
          <w:p>
            <w:pPr>
              <w:pStyle w:val="Compact"/>
              <w:jc w:val="left"/>
            </w:pPr>
            <w:r>
              <w:t xml:space="preserve">500,202 ILS</w:t>
            </w:r>
          </w:p>
        </w:tc>
      </w:tr>
    </w:tbl>
    <w:bookmarkEnd w:id="23"/>
    <w:bookmarkStart w:id="24" w:name="X06f751c0fef37426aad28df54ec1acd620508e5"/>
    <w:p>
      <w:pPr>
        <w:pStyle w:val="Heading2"/>
      </w:pPr>
      <w:r>
        <w:t xml:space="preserve">4. Terms &amp;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the expiry date, all prices are subject to revision based on prevailing material and labour costs in</w:t>
      </w:r>
      <w:r>
        <w:t xml:space="preserve"> </w:t>
      </w:r>
      <w:r>
        <w:t xml:space="preserve">Israel Tel Aviv</w:t>
      </w:r>
      <w:r>
        <w:t xml:space="preserve">.</w:t>
      </w:r>
    </w:p>
    <w:p>
      <w:pPr>
        <w:numPr>
          <w:ilvl w:val="0"/>
          <w:numId w:val="1002"/>
        </w:numPr>
        <w:pStyle w:val="Compact"/>
      </w:pPr>
      <w:r>
        <w:t xml:space="preserve">Payment terms: 30% advance upon contract signing, 40% upon completion of cabling and hardware installation, and 30% upon final acceptance and handover of as-built documentation.</w:t>
      </w:r>
    </w:p>
    <w:p>
      <w:pPr>
        <w:numPr>
          <w:ilvl w:val="0"/>
          <w:numId w:val="1002"/>
        </w:numPr>
        <w:pStyle w:val="Compact"/>
      </w:pPr>
      <w:r>
        <w:t xml:space="preserve">All payments are due within fourteen (14) business days of invoice date. Late payments shall accrue interest at the rate prescribed by the Israeli Late Payment Law.</w:t>
      </w:r>
    </w:p>
    <w:p>
      <w:pPr>
        <w:numPr>
          <w:ilvl w:val="0"/>
          <w:numId w:val="1002"/>
        </w:numPr>
        <w:pStyle w:val="Compact"/>
      </w:pPr>
      <w:r>
        <w:t xml:space="preserve">The</w:t>
      </w:r>
      <w:r>
        <w:t xml:space="preserve"> </w:t>
      </w:r>
      <w:r>
        <w:t xml:space="preserve">Telecommunication Engineer</w:t>
      </w:r>
      <w:r>
        <w:t xml:space="preserve"> </w:t>
      </w:r>
      <w:r>
        <w:t xml:space="preserve">and all supporting technicians are fully insured under Israeli professional liability and workers’ compensation policies. Certificates of insurance will be provided upon request.</w:t>
      </w:r>
    </w:p>
    <w:p>
      <w:pPr>
        <w:numPr>
          <w:ilvl w:val="0"/>
          <w:numId w:val="1002"/>
        </w:numPr>
        <w:pStyle w:val="Compact"/>
      </w:pPr>
      <w:r>
        <w:t xml:space="preserve">Warranty: A twelve-month comprehensive warranty covers all installed hardware, cabling, and configuration work. The</w:t>
      </w:r>
      <w:r>
        <w:t xml:space="preserve"> </w:t>
      </w:r>
      <w:r>
        <w:t xml:space="preserve">Telecommunication Engineer</w:t>
      </w:r>
      <w:r>
        <w:t xml:space="preserve"> </w:t>
      </w:r>
      <w:r>
        <w:t xml:space="preserve">will respond to any warranty call within 24 hours at the Tel Aviv site.</w:t>
      </w:r>
    </w:p>
    <w:p>
      <w:pPr>
        <w:numPr>
          <w:ilvl w:val="0"/>
          <w:numId w:val="1002"/>
        </w:numPr>
        <w:pStyle w:val="Compact"/>
      </w:pPr>
      <w:r>
        <w:t xml:space="preserve">Any change in scope beyond the items listed in Section 3 will be subject to a supplementary</w:t>
      </w:r>
      <w:r>
        <w:t xml:space="preserve"> </w:t>
      </w:r>
      <w:r>
        <w:t xml:space="preserve">Quotation Estimate</w:t>
      </w:r>
      <w:r>
        <w:t xml:space="preserve"> </w:t>
      </w:r>
      <w:r>
        <w:t xml:space="preserve">issued by the project manager prior to execution.</w:t>
      </w:r>
    </w:p>
    <w:p>
      <w:pPr>
        <w:numPr>
          <w:ilvl w:val="0"/>
          <w:numId w:val="1002"/>
        </w:numPr>
        <w:pStyle w:val="Compact"/>
      </w:pPr>
      <w:r>
        <w:t xml:space="preserve">This project is governed by the laws of the State of Israel. Any disputes shall be resolved by the competent courts in Tel Aviv, Israel.</w:t>
      </w:r>
    </w:p>
    <w:p>
      <w:pPr>
        <w:numPr>
          <w:ilvl w:val="0"/>
          <w:numId w:val="1002"/>
        </w:numPr>
        <w:pStyle w:val="Compact"/>
      </w:pPr>
      <w:r>
        <w:t xml:space="preserve">The client is responsible for providing safe access to all floors, electrical power for testing, and coordination with the building’s management association in Tel Aviv.</w:t>
      </w:r>
    </w:p>
    <w:bookmarkEnd w:id="24"/>
    <w:bookmarkStart w:id="25" w:name="assumptions-exclusions"/>
    <w:p>
      <w:pPr>
        <w:pStyle w:val="Heading2"/>
      </w:pPr>
      <w:r>
        <w:t xml:space="preserve">5. Assumptions &amp; Exclusions</w:t>
      </w:r>
    </w:p>
    <w:p>
      <w:pPr>
        <w:numPr>
          <w:ilvl w:val="0"/>
          <w:numId w:val="1003"/>
        </w:numPr>
        <w:pStyle w:val="Compact"/>
      </w:pPr>
      <w:r>
        <w:t xml:space="preserve">Prices assume standard working hours (08:00–17:00, Sunday–Thursday) in Tel Aviv. After-hours or weekend work will be billed at 1.5× the standard</w:t>
      </w:r>
      <w:r>
        <w:t xml:space="preserve"> </w:t>
      </w:r>
      <w:r>
        <w:t xml:space="preserve">Telecommunication Engineer</w:t>
      </w:r>
      <w:r>
        <w:t xml:space="preserve"> </w:t>
      </w:r>
      <w:r>
        <w:t xml:space="preserve">rate.</w:t>
      </w:r>
    </w:p>
    <w:p>
      <w:pPr>
        <w:numPr>
          <w:ilvl w:val="0"/>
          <w:numId w:val="1003"/>
        </w:numPr>
        <w:pStyle w:val="Compact"/>
      </w:pPr>
      <w:r>
        <w:t xml:space="preserve">Costs for third-party carrier services (ongoing MPLS bandwidth, SIP trunk monthly fees, internet connectivity) are excluded from this</w:t>
      </w:r>
      <w:r>
        <w:t xml:space="preserve"> </w:t>
      </w:r>
      <w:r>
        <w:t xml:space="preserve">Quotation Estimate</w:t>
      </w:r>
      <w:r>
        <w:t xml:space="preserve"> </w:t>
      </w:r>
      <w:r>
        <w:t xml:space="preserve">and will be billed directly by the respective Israeli telecom operators.</w:t>
      </w:r>
    </w:p>
    <w:p>
      <w:pPr>
        <w:numPr>
          <w:ilvl w:val="0"/>
          <w:numId w:val="1003"/>
        </w:numPr>
        <w:pStyle w:val="Compact"/>
      </w:pPr>
      <w:r>
        <w:t xml:space="preserve">Structural modifications to the building (e.g., new conduit penetrations through load-bearing walls) are excluded and will be quoted separately.</w:t>
      </w:r>
    </w:p>
    <w:p>
      <w:pPr>
        <w:pStyle w:val="FirstParagraph"/>
      </w:pPr>
      <w:r>
        <w:rPr>
          <w:bCs/>
          <w:b/>
        </w:rPr>
        <w:t xml:space="preserve">For Negev Telecom Solutions Ltd.</w:t>
      </w:r>
    </w:p>
    <w:p>
      <w:pPr>
        <w:pStyle w:val="BodyText"/>
      </w:pPr>
      <w:r>
        <w:t xml:space="preserve">Merav Cohen</w:t>
      </w:r>
      <w:r>
        <w:br/>
      </w:r>
      <w:r>
        <w:t xml:space="preserve">Senior Telecommunication Engineer</w:t>
      </w:r>
      <w:r>
        <w:br/>
      </w:r>
      <w:r>
        <w:t xml:space="preserve">Signature &amp; Date</w:t>
      </w:r>
    </w:p>
    <w:p>
      <w:pPr>
        <w:pStyle w:val="BodyText"/>
      </w:pPr>
      <w:r>
        <w:rPr>
          <w:bCs/>
          <w:b/>
        </w:rPr>
        <w:t xml:space="preserve">Accepted by the Client</w:t>
      </w:r>
    </w:p>
    <w:p>
      <w:pPr>
        <w:pStyle w:val="BodyText"/>
      </w:pPr>
      <w:r>
        <w:t xml:space="preserve">Daniel Peretz</w:t>
      </w:r>
      <w:r>
        <w:br/>
      </w:r>
      <w:r>
        <w:t xml:space="preserve">Facilities Director, Horizon Business Park</w:t>
      </w:r>
      <w:r>
        <w:br/>
      </w:r>
      <w:r>
        <w:t xml:space="preserve">Signature &amp; Date</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is a good-faith estimate prepared by a qualified</w:t>
      </w:r>
      <w:r>
        <w:t xml:space="preserve"> </w:t>
      </w:r>
      <w:r>
        <w:t xml:space="preserve">Telecommunication Engineer</w:t>
      </w:r>
      <w:r>
        <w:t xml:space="preserve"> </w:t>
      </w:r>
      <w:r>
        <w:t xml:space="preserve">for a project located in</w:t>
      </w:r>
      <w:r>
        <w:t xml:space="preserve"> </w:t>
      </w:r>
      <w:r>
        <w:t xml:space="preserve">Israel Tel Aviv</w:t>
      </w:r>
      <w:r>
        <w:t xml:space="preserve">. It does not constitute a binding contract until both parties have signed and exchanged executed copies. All figures are in Israeli New Shekels (ILS) and include applicable Israeli VAT at the current rate of 18%. For questions or clarifications, please contact our Tel Aviv office at +972-3-555-0142 or email estimates@negev-telecom.co.il.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Services - Israel Tel Aviv</dc:title>
  <dc:creator/>
  <dc:language>en</dc:language>
  <cp:keywords/>
  <dcterms:created xsi:type="dcterms:W3CDTF">2026-10-10T04:05:29Z</dcterms:created>
  <dcterms:modified xsi:type="dcterms:W3CDTF">2026-10-10T04:05:29Z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