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Telecommunication Engineer Services</w:t>
      </w:r>
    </w:p>
    <w:p>
      <w:pPr>
        <w:pStyle w:val="BodyText"/>
      </w:pPr>
      <w:r>
        <w:t xml:space="preserve">Prepared for Deployment in Japan Tokyo</w:t>
      </w:r>
    </w:p>
    <w:bookmarkEnd w:id="20"/>
    <w:p>
      <w:pPr>
        <w:pStyle w:val="BodyText"/>
      </w:pPr>
      <w:r>
        <w:rPr>
          <w:bCs/>
          <w:b/>
        </w:rPr>
        <w:t xml:space="preserve">Quotation No.:</w:t>
      </w:r>
      <w:r>
        <w:t xml:space="preserve"> </w:t>
      </w:r>
      <w:r>
        <w:t xml:space="preserve">QTE-2025-JPT-0487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Katsura Telecom Solutions Ltd.</w:t>
      </w:r>
      <w:r>
        <w:br/>
      </w:r>
      <w:r>
        <w:rPr>
          <w:bCs/>
          <w:b/>
        </w:rPr>
        <w:t xml:space="preserve">Address:</w:t>
      </w:r>
      <w:r>
        <w:t xml:space="preserve"> </w:t>
      </w:r>
      <w:r>
        <w:t xml:space="preserve">4-2-1 Shibuya, Shibuya-ku, Tokyo 150-0002, Japan</w:t>
      </w:r>
      <w:r>
        <w:br/>
      </w:r>
      <w:r>
        <w:rPr>
          <w:bCs/>
          <w:b/>
        </w:rPr>
        <w:t xml:space="preserve">Contact:</w:t>
      </w:r>
      <w:r>
        <w:t xml:space="preserve"> </w:t>
      </w:r>
      <w:r>
        <w:t xml:space="preserve">+81-3-5555-7821 | estimates@katsuratelecom.jp</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Sumitomo Infrastructure Holdings K.K.</w:t>
            </w:r>
          </w:p>
        </w:tc>
      </w:tr>
      <w:tr>
        <w:tc>
          <w:tcPr/>
          <w:p>
            <w:pPr>
              <w:pStyle w:val="Compact"/>
              <w:jc w:val="left"/>
            </w:pPr>
            <w:r>
              <w:rPr>
                <w:bCs/>
                <w:b/>
              </w:rPr>
              <w:t xml:space="preserve">Project Site:</w:t>
            </w:r>
          </w:p>
        </w:tc>
        <w:tc>
          <w:tcPr/>
          <w:p>
            <w:pPr>
              <w:pStyle w:val="Compact"/>
              <w:jc w:val="left"/>
            </w:pPr>
            <w:r>
              <w:t xml:space="preserve">Minato-ku, Japan Tokyo (Multiple Locations)</w:t>
            </w:r>
          </w:p>
        </w:tc>
      </w:tr>
      <w:tr>
        <w:tc>
          <w:tcPr/>
          <w:p>
            <w:pPr>
              <w:pStyle w:val="Compact"/>
              <w:jc w:val="left"/>
            </w:pPr>
            <w:r>
              <w:rPr>
                <w:bCs/>
                <w:b/>
              </w:rPr>
              <w:t xml:space="preserve">Project Reference:</w:t>
            </w:r>
          </w:p>
        </w:tc>
        <w:tc>
          <w:tcPr/>
          <w:p>
            <w:pPr>
              <w:pStyle w:val="Compact"/>
              <w:jc w:val="left"/>
            </w:pPr>
            <w:r>
              <w:t xml:space="preserve">SIH-2025-Telecom-Upgrade-Phase II</w:t>
            </w:r>
          </w:p>
        </w:tc>
      </w:tr>
      <w:tr>
        <w:tc>
          <w:tcPr/>
          <w:p>
            <w:pPr>
              <w:pStyle w:val="Compact"/>
              <w:jc w:val="left"/>
            </w:pPr>
            <w:r>
              <w:rPr>
                <w:bCs/>
                <w:b/>
              </w:rPr>
              <w:t xml:space="preserve">Point of Contact:</w:t>
            </w:r>
          </w:p>
        </w:tc>
        <w:tc>
          <w:tcPr/>
          <w:p>
            <w:pPr>
              <w:pStyle w:val="Compact"/>
              <w:jc w:val="left"/>
            </w:pPr>
            <w:r>
              <w:t xml:space="preserve">Mr. Hiroshi Tanaka, Director of Engineering</w:t>
            </w:r>
          </w:p>
        </w:tc>
      </w:tr>
    </w:tbl>
    <w:p>
      <w:pPr>
        <w:pStyle w:val="BodyText"/>
      </w:pPr>
      <w:r>
        <w:t xml:space="preserve">2. Scope of Work – Telecommunication Engineer Services in Japan Tokyo</w:t>
      </w:r>
    </w:p>
    <w:p>
      <w:pPr>
        <w:pStyle w:val="BodyText"/>
      </w:pPr>
      <w:r>
        <w:t xml:space="preserve">This</w:t>
      </w:r>
      <w:r>
        <w:t xml:space="preserve"> </w:t>
      </w:r>
      <w:r>
        <w:t xml:space="preserve">Quotation Estimate</w:t>
      </w:r>
      <w:r>
        <w:t xml:space="preserve"> </w:t>
      </w:r>
      <w:r>
        <w:t xml:space="preserve">is issued by Katsura Telecom Solutions Ltd. to provide comprehensive professional services rendered by a certified</w:t>
      </w:r>
      <w:r>
        <w:t xml:space="preserve"> </w:t>
      </w:r>
      <w:r>
        <w:t xml:space="preserve">Telecommunication Engineer</w:t>
      </w:r>
      <w:r>
        <w:t xml:space="preserve"> </w:t>
      </w:r>
      <w:r>
        <w:t xml:space="preserve">for the design, installation, testing, and commissioning of next-generation telecommunications infrastructure across multiple commercial and residential sites located in</w:t>
      </w:r>
      <w:r>
        <w:t xml:space="preserve"> </w:t>
      </w:r>
      <w:r>
        <w:t xml:space="preserve">Japan Tokyo</w:t>
      </w:r>
      <w:r>
        <w:t xml:space="preserve">. The scope encompasses fiber-optic network deployment, 5G small-cell base station integration, IP-based voice and data system configuration, and full compliance with the Radio Act (電波法) administered by the Radio Regulatory Commission of Japan.</w:t>
      </w:r>
    </w:p>
    <w:p>
      <w:pPr>
        <w:pStyle w:val="BodyText"/>
      </w:pPr>
      <w:r>
        <w:t xml:space="preserve">The assigned</w:t>
      </w:r>
      <w:r>
        <w:t xml:space="preserve"> </w:t>
      </w:r>
      <w:r>
        <w:t xml:space="preserve">Telecommunication Engineer</w:t>
      </w:r>
      <w:r>
        <w:t xml:space="preserve"> </w:t>
      </w:r>
      <w:r>
        <w:t xml:space="preserve">holds a Class 1 Telecommunications Engineer certification (第一種電気通信工事技師) issued by the Ministry of Internal Affairs and Communications (MIC) of Japan, ensuring all work performed in</w:t>
      </w:r>
      <w:r>
        <w:t xml:space="preserve"> </w:t>
      </w:r>
      <w:r>
        <w:t xml:space="preserve">Japan Tokyo</w:t>
      </w:r>
      <w:r>
        <w:t xml:space="preserve"> </w:t>
      </w:r>
      <w:r>
        <w:t xml:space="preserve">meets the highest national standards for safety, performance, and regulatory adherence.</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Site survey and feasibility assessment by Telecommunication Engineer at 6 locations in Japan Tokyo (Shibuya, Shinjuku, Minato, Chiyoda, Chuo, and Setagaya wards)</w:t>
            </w:r>
          </w:p>
        </w:tc>
        <w:tc>
          <w:tcPr/>
          <w:p>
            <w:pPr>
              <w:pStyle w:val="Compact"/>
              <w:jc w:val="left"/>
            </w:pPr>
            <w:r>
              <w:t xml:space="preserve">6 sites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02</w:t>
            </w:r>
          </w:p>
        </w:tc>
        <w:tc>
          <w:tcPr/>
          <w:p>
            <w:pPr>
              <w:pStyle w:val="Compact"/>
              <w:jc w:val="left"/>
            </w:pPr>
            <w:r>
              <w:t xml:space="preserve">Detailed network design and engineering documentation for fiber-to-the-building (FTTB) and 5G small-cell deployment</w:t>
            </w:r>
          </w:p>
        </w:tc>
        <w:tc>
          <w:tcPr/>
          <w:p>
            <w:pPr>
              <w:pStyle w:val="Compact"/>
              <w:jc w:val="left"/>
            </w:pPr>
            <w:r>
              <w:t xml:space="preserve">1 project</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03</w:t>
            </w:r>
          </w:p>
        </w:tc>
        <w:tc>
          <w:tcPr/>
          <w:p>
            <w:pPr>
              <w:pStyle w:val="Compact"/>
              <w:jc w:val="left"/>
            </w:pPr>
            <w:r>
              <w:t xml:space="preserve">Installation and termination of single-mode fiber-optic cabling (G.652D) – 12,000 meters total across all Japan Tokyo sites</w:t>
            </w:r>
          </w:p>
        </w:tc>
        <w:tc>
          <w:tcPr/>
          <w:p>
            <w:pPr>
              <w:pStyle w:val="Compact"/>
              <w:jc w:val="left"/>
            </w:pPr>
            <w:r>
              <w:t xml:space="preserve">12,000 m</w:t>
            </w:r>
          </w:p>
        </w:tc>
        <w:tc>
          <w:tcPr/>
          <w:p>
            <w:pPr>
              <w:pStyle w:val="Compact"/>
              <w:jc w:val="left"/>
            </w:pPr>
            <w:r>
              <w:t xml:space="preserve">3,200</w:t>
            </w:r>
          </w:p>
        </w:tc>
        <w:tc>
          <w:tcPr/>
          <w:p>
            <w:pPr>
              <w:pStyle w:val="Compact"/>
              <w:jc w:val="left"/>
            </w:pPr>
            <w:r>
              <w:t xml:space="preserve">38,400,000</w:t>
            </w:r>
          </w:p>
        </w:tc>
      </w:tr>
      <w:tr>
        <w:tc>
          <w:tcPr/>
          <w:p>
            <w:pPr>
              <w:pStyle w:val="Compact"/>
              <w:jc w:val="left"/>
            </w:pPr>
            <w:r>
              <w:t xml:space="preserve">04</w:t>
            </w:r>
          </w:p>
        </w:tc>
        <w:tc>
          <w:tcPr/>
          <w:p>
            <w:pPr>
              <w:pStyle w:val="Compact"/>
              <w:jc w:val="left"/>
            </w:pPr>
            <w:r>
              <w:t xml:space="preserve">Deployment and configuration of 5G NR small-cell base stations (28 GHz mmWave) – 14 units</w:t>
            </w:r>
          </w:p>
        </w:tc>
        <w:tc>
          <w:tcPr/>
          <w:p>
            <w:pPr>
              <w:pStyle w:val="Compact"/>
              <w:jc w:val="left"/>
            </w:pPr>
            <w:r>
              <w:t xml:space="preserve">14 units</w:t>
            </w:r>
          </w:p>
        </w:tc>
        <w:tc>
          <w:tcPr/>
          <w:p>
            <w:pPr>
              <w:pStyle w:val="Compact"/>
              <w:jc w:val="left"/>
            </w:pPr>
            <w:r>
              <w:t xml:space="preserve">1,850,000</w:t>
            </w:r>
          </w:p>
        </w:tc>
        <w:tc>
          <w:tcPr/>
          <w:p>
            <w:pPr>
              <w:pStyle w:val="Compact"/>
              <w:jc w:val="left"/>
            </w:pPr>
            <w:r>
              <w:t xml:space="preserve">25,900,000</w:t>
            </w:r>
          </w:p>
        </w:tc>
      </w:tr>
      <w:tr>
        <w:tc>
          <w:tcPr/>
          <w:p>
            <w:pPr>
              <w:pStyle w:val="Compact"/>
              <w:jc w:val="left"/>
            </w:pPr>
            <w:r>
              <w:t xml:space="preserve">05</w:t>
            </w:r>
          </w:p>
        </w:tc>
        <w:tc>
          <w:tcPr/>
          <w:p>
            <w:pPr>
              <w:pStyle w:val="Compact"/>
              <w:jc w:val="left"/>
            </w:pPr>
            <w:r>
              <w:t xml:space="preserve">IP-MPLS core router and switch installation, VLAN configuration, and QoS policy implementation</w:t>
            </w:r>
          </w:p>
        </w:tc>
        <w:tc>
          <w:tcPr/>
          <w:p>
            <w:pPr>
              <w:pStyle w:val="Compact"/>
              <w:jc w:val="left"/>
            </w:pPr>
            <w:r>
              <w:t xml:space="preserve">1 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06</w:t>
            </w:r>
          </w:p>
        </w:tc>
        <w:tc>
          <w:tcPr/>
          <w:p>
            <w:pPr>
              <w:pStyle w:val="Compact"/>
              <w:jc w:val="left"/>
            </w:pPr>
            <w:r>
              <w:t xml:space="preserve">RF link budget analysis, antenna alignment, and signal propagation testing in Japan Tokyo urban environment</w:t>
            </w:r>
          </w:p>
        </w:tc>
        <w:tc>
          <w:tcPr/>
          <w:p>
            <w:pPr>
              <w:pStyle w:val="Compact"/>
              <w:jc w:val="left"/>
            </w:pPr>
            <w:r>
              <w:t xml:space="preserve">14 sites</w:t>
            </w:r>
          </w:p>
        </w:tc>
        <w:tc>
          <w:tcPr/>
          <w:p>
            <w:pPr>
              <w:pStyle w:val="Compact"/>
              <w:jc w:val="left"/>
            </w:pPr>
            <w:r>
              <w:t xml:space="preserve">95,000</w:t>
            </w:r>
          </w:p>
        </w:tc>
        <w:tc>
          <w:tcPr/>
          <w:p>
            <w:pPr>
              <w:pStyle w:val="Compact"/>
              <w:jc w:val="left"/>
            </w:pPr>
            <w:r>
              <w:t xml:space="preserve">1,330,000</w:t>
            </w:r>
          </w:p>
        </w:tc>
      </w:tr>
      <w:tr>
        <w:tc>
          <w:tcPr/>
          <w:p>
            <w:pPr>
              <w:pStyle w:val="Compact"/>
              <w:jc w:val="left"/>
            </w:pPr>
            <w:r>
              <w:t xml:space="preserve">07</w:t>
            </w:r>
          </w:p>
        </w:tc>
        <w:tc>
          <w:tcPr/>
          <w:p>
            <w:pPr>
              <w:pStyle w:val="Compact"/>
              <w:jc w:val="left"/>
            </w:pPr>
            <w:r>
              <w:t xml:space="preserve">End-to-end system testing, performance validation, and acceptance documentation</w:t>
            </w:r>
          </w:p>
        </w:tc>
        <w:tc>
          <w:tcPr/>
          <w:p>
            <w:pPr>
              <w:pStyle w:val="Compact"/>
              <w:jc w:val="left"/>
            </w:pPr>
            <w:r>
              <w:t xml:space="preserve">1 project</w:t>
            </w:r>
          </w:p>
        </w:tc>
        <w:tc>
          <w:tcPr/>
          <w:p>
            <w:pPr>
              <w:pStyle w:val="Compact"/>
              <w:jc w:val="left"/>
            </w:pPr>
            <w:r>
              <w:t xml:space="preserve">1,750,000</w:t>
            </w:r>
          </w:p>
        </w:tc>
        <w:tc>
          <w:tcPr/>
          <w:p>
            <w:pPr>
              <w:pStyle w:val="Compact"/>
              <w:jc w:val="left"/>
            </w:pPr>
            <w:r>
              <w:t xml:space="preserve">1,750,000</w:t>
            </w:r>
          </w:p>
        </w:tc>
      </w:tr>
      <w:tr>
        <w:tc>
          <w:tcPr/>
          <w:p>
            <w:pPr>
              <w:pStyle w:val="Compact"/>
              <w:jc w:val="left"/>
            </w:pPr>
            <w:r>
              <w:t xml:space="preserve">08</w:t>
            </w:r>
          </w:p>
        </w:tc>
        <w:tc>
          <w:tcPr/>
          <w:p>
            <w:pPr>
              <w:pStyle w:val="Compact"/>
              <w:jc w:val="left"/>
            </w:pPr>
            <w:r>
              <w:t xml:space="preserve">Regulatory filing, Radio Act compliance certification, and MIC notification for all Japan Tokyo installations</w:t>
            </w:r>
          </w:p>
        </w:tc>
        <w:tc>
          <w:tcPr/>
          <w:p>
            <w:pPr>
              <w:pStyle w:val="Compact"/>
              <w:jc w:val="left"/>
            </w:pPr>
            <w:r>
              <w:t xml:space="preserve">1 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09</w:t>
            </w:r>
          </w:p>
        </w:tc>
        <w:tc>
          <w:tcPr/>
          <w:p>
            <w:pPr>
              <w:pStyle w:val="Compact"/>
              <w:jc w:val="left"/>
            </w:pPr>
            <w:r>
              <w:t xml:space="preserve">On-site supervision and quality assurance by senior Telecommunication Engineer (full project duration – 14 weeks)</w:t>
            </w:r>
          </w:p>
        </w:tc>
        <w:tc>
          <w:tcPr/>
          <w:p>
            <w:pPr>
              <w:pStyle w:val="Compact"/>
              <w:jc w:val="left"/>
            </w:pPr>
            <w:r>
              <w:t xml:space="preserve">14 weeks</w:t>
            </w:r>
          </w:p>
        </w:tc>
        <w:tc>
          <w:tcPr/>
          <w:p>
            <w:pPr>
              <w:pStyle w:val="Compact"/>
              <w:jc w:val="left"/>
            </w:pPr>
            <w:r>
              <w:t xml:space="preserve">420,000</w:t>
            </w:r>
          </w:p>
        </w:tc>
        <w:tc>
          <w:tcPr/>
          <w:p>
            <w:pPr>
              <w:pStyle w:val="Compact"/>
              <w:jc w:val="left"/>
            </w:pPr>
            <w:r>
              <w:t xml:space="preserve">5,880,000</w:t>
            </w:r>
          </w:p>
        </w:tc>
      </w:tr>
      <w:tr>
        <w:tc>
          <w:tcPr/>
          <w:p>
            <w:pPr>
              <w:pStyle w:val="Compact"/>
              <w:jc w:val="left"/>
            </w:pPr>
            <w:r>
              <w:t xml:space="preserve">10</w:t>
            </w:r>
          </w:p>
        </w:tc>
        <w:tc>
          <w:tcPr/>
          <w:p>
            <w:pPr>
              <w:pStyle w:val="Compact"/>
              <w:jc w:val="left"/>
            </w:pPr>
            <w:r>
              <w:t xml:space="preserve">As-built documentation, O&amp;M manuals, and 12-month warranty support</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right"/>
            </w:pPr>
            <w:r>
              <w:t xml:space="preserve">Subtotal</w:t>
            </w:r>
          </w:p>
        </w:tc>
        <w:tc>
          <w:tcPr/>
          <w:p>
            <w:pPr>
              <w:pStyle w:val="Compact"/>
              <w:jc w:val="left"/>
            </w:pPr>
            <w:r>
              <w:t xml:space="preserve">82,070,000</w:t>
            </w:r>
          </w:p>
        </w:tc>
      </w:tr>
      <w:tr>
        <w:tc>
          <w:tcPr>
            <w:gridSpan w:val="4"/>
          </w:tcPr>
          <w:p>
            <w:pPr>
              <w:pStyle w:val="Compact"/>
              <w:jc w:val="right"/>
            </w:pPr>
            <w:r>
              <w:t xml:space="preserve">Consumable Materials &amp; Hardware (Fiber, Connectors, Patch Panels, Power Supplies)</w:t>
            </w:r>
          </w:p>
        </w:tc>
        <w:tc>
          <w:tcPr/>
          <w:p>
            <w:pPr>
              <w:pStyle w:val="Compact"/>
              <w:jc w:val="left"/>
            </w:pPr>
            <w:r>
              <w:t xml:space="preserve">14,650,000</w:t>
            </w:r>
          </w:p>
        </w:tc>
      </w:tr>
      <w:tr>
        <w:tc>
          <w:tcPr>
            <w:gridSpan w:val="4"/>
          </w:tcPr>
          <w:p>
            <w:pPr>
              <w:pStyle w:val="Compact"/>
              <w:jc w:val="right"/>
            </w:pPr>
            <w:r>
              <w:t xml:space="preserve">Applicable Consumption Tax (10% – Japan Tokyo)</w:t>
            </w:r>
          </w:p>
        </w:tc>
        <w:tc>
          <w:tcPr/>
          <w:p>
            <w:pPr>
              <w:pStyle w:val="Compact"/>
              <w:jc w:val="left"/>
            </w:pPr>
            <w:r>
              <w:t xml:space="preserve">9,672,000</w:t>
            </w:r>
          </w:p>
        </w:tc>
      </w:tr>
      <w:tr>
        <w:tc>
          <w:tcPr>
            <w:gridSpan w:val="4"/>
          </w:tcPr>
          <w:p>
            <w:pPr>
              <w:pStyle w:val="Compact"/>
              <w:jc w:val="right"/>
            </w:pPr>
            <w:r>
              <w:t xml:space="preserve">TOTAL ESTIMATED COST</w:t>
            </w:r>
          </w:p>
        </w:tc>
        <w:tc>
          <w:tcPr/>
          <w:p>
            <w:pPr>
              <w:pStyle w:val="Compact"/>
              <w:jc w:val="left"/>
            </w:pPr>
            <w:r>
              <w:t xml:space="preserve">106,392,000 JPY</w:t>
            </w:r>
          </w:p>
        </w:tc>
      </w:tr>
    </w:tbl>
    <w:p>
      <w:pPr>
        <w:pStyle w:val="BodyText"/>
      </w:pPr>
      <w:r>
        <w:t xml:space="preserve">4. Project Timeline</w:t>
      </w:r>
    </w:p>
    <w:p>
      <w:pPr>
        <w:pStyle w:val="BodyText"/>
      </w:pPr>
      <w:r>
        <w:t xml:space="preserve">The total estimated duration for the</w:t>
      </w:r>
      <w:r>
        <w:t xml:space="preserve"> </w:t>
      </w:r>
      <w:r>
        <w:t xml:space="preserve">Telecommunication Engineer</w:t>
      </w:r>
      <w:r>
        <w:t xml:space="preserve"> </w:t>
      </w:r>
      <w:r>
        <w:t xml:space="preserve">engagement in</w:t>
      </w:r>
      <w:r>
        <w:t xml:space="preserve"> </w:t>
      </w:r>
      <w:r>
        <w:t xml:space="preserve">Japan Tokyo</w:t>
      </w:r>
      <w:r>
        <w:t xml:space="preserve"> </w:t>
      </w:r>
      <w:r>
        <w:t xml:space="preserve">is fourteen (14) calendar weeks from the date of contract execution. Phase 1 (Weeks 1–3) covers site surveys and design. Phase 2 (Weeks 4–10) covers physical installation and equipment deployment. Phase 3 (Weeks 11–14) covers testing, regulatory certification, and handover. All milestones are subject to weather conditions and municipal permitting schedules specific to the Tokyo Metropolitan Government.</w:t>
      </w:r>
    </w:p>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revised to reflect changes in material costs, labor rates, or regulatory requirements applicable to</w:t>
      </w:r>
      <w:r>
        <w:t xml:space="preserve"> </w:t>
      </w:r>
      <w:r>
        <w:t xml:space="preserve">Japan Tokyo</w:t>
      </w:r>
      <w:r>
        <w:t xml:space="preserve">.</w:t>
      </w:r>
    </w:p>
    <w:p>
      <w:pPr>
        <w:numPr>
          <w:ilvl w:val="0"/>
          <w:numId w:val="1001"/>
        </w:numPr>
        <w:pStyle w:val="Compact"/>
      </w:pPr>
      <w:r>
        <w:t xml:space="preserve">Payment terms: 30% advance payment upon contract signing, 40% upon completion of Phase 2 installation, and 30% upon final acceptance and delivery of as-built documentation.</w:t>
      </w:r>
    </w:p>
    <w:p>
      <w:pPr>
        <w:numPr>
          <w:ilvl w:val="0"/>
          <w:numId w:val="1001"/>
        </w:numPr>
        <w:pStyle w:val="Compact"/>
      </w:pPr>
      <w:r>
        <w:t xml:space="preserve">All work performed by the</w:t>
      </w:r>
      <w:r>
        <w:t xml:space="preserve"> </w:t>
      </w:r>
      <w:r>
        <w:t xml:space="preserve">Telecommunication Engineer</w:t>
      </w:r>
      <w:r>
        <w:t xml:space="preserve"> </w:t>
      </w:r>
      <w:r>
        <w:t xml:space="preserve">shall comply with the Japanese Electrical Work Act (電気工事法), the Radio Act (電波法), and all applicable Tokyo Metropolitan Government building and telecommunications ordinances.</w:t>
      </w:r>
    </w:p>
    <w:p>
      <w:pPr>
        <w:numPr>
          <w:ilvl w:val="0"/>
          <w:numId w:val="1001"/>
        </w:numPr>
        <w:pStyle w:val="Compact"/>
      </w:pPr>
      <w:r>
        <w:t xml:space="preserve">The</w:t>
      </w:r>
      <w:r>
        <w:t xml:space="preserve"> </w:t>
      </w:r>
      <w:r>
        <w:t xml:space="preserve">Telecommunication Engineer</w:t>
      </w:r>
      <w:r>
        <w:t xml:space="preserve"> </w:t>
      </w:r>
      <w:r>
        <w:t xml:space="preserve">shall carry professional liability insurance with a minimum coverage of 500,000,000 JPY for the duration of the project in</w:t>
      </w:r>
      <w:r>
        <w:t xml:space="preserve"> </w:t>
      </w:r>
      <w:r>
        <w:t xml:space="preserve">Japan Tokyo</w:t>
      </w:r>
      <w:r>
        <w:t xml:space="preserve">.</w:t>
      </w:r>
    </w:p>
    <w:p>
      <w:pPr>
        <w:numPr>
          <w:ilvl w:val="0"/>
          <w:numId w:val="1001"/>
        </w:numPr>
        <w:pStyle w:val="Compact"/>
      </w:pPr>
      <w:r>
        <w:t xml:space="preserve">Any changes to the scope of work must be documented in a formal Change Order signed by both parties before additional work commences.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numPr>
          <w:ilvl w:val="0"/>
          <w:numId w:val="1001"/>
        </w:numPr>
        <w:pStyle w:val="Compact"/>
      </w:pPr>
      <w:r>
        <w:t xml:space="preserve">Disputes arising from this engagement shall be resolved through arbitration under the rules of the Japan Commercial Arbitration Association (JCAA) in Tokyo.</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Katsura Telecom Solutions Ltd. to proceed with the engagement of the</w:t>
      </w:r>
      <w:r>
        <w:t xml:space="preserve"> </w:t>
      </w:r>
      <w:r>
        <w:t xml:space="preserve">Telecommunication Engineer</w:t>
      </w:r>
      <w:r>
        <w:t xml:space="preserve"> </w:t>
      </w:r>
      <w:r>
        <w:t xml:space="preserve">for the telecommunications infrastructure project in</w:t>
      </w:r>
      <w:r>
        <w:t xml:space="preserve"> </w:t>
      </w:r>
      <w:r>
        <w:t xml:space="preserve">Japan Tokyo</w:t>
      </w:r>
      <w:r>
        <w:t xml:space="preserve"> </w:t>
      </w:r>
      <w:r>
        <w:t xml:space="preserve">as described herein.</w:t>
      </w:r>
    </w:p>
    <w:p>
      <w:pPr>
        <w:pStyle w:val="BodyText"/>
      </w:pPr>
      <w:r>
        <w:rPr>
          <w:bCs/>
          <w:b/>
        </w:rPr>
        <w:t xml:space="preserve">For Katsura Telecom Solutions Ltd.</w:t>
      </w:r>
      <w:r>
        <w:br/>
      </w:r>
      <w:r>
        <w:t xml:space="preserve">Name: Kenji Katsura</w:t>
      </w:r>
      <w:r>
        <w:br/>
      </w:r>
      <w:r>
        <w:t xml:space="preserve">Title: Chief Telecommunication Engineer</w:t>
      </w:r>
      <w:r>
        <w:br/>
      </w:r>
      <w:r>
        <w:t xml:space="preserve">Date: _______________</w:t>
      </w:r>
    </w:p>
    <w:p>
      <w:pPr>
        <w:pStyle w:val="BodyText"/>
      </w:pPr>
      <w:r>
        <w:rPr>
          <w:bCs/>
          <w:b/>
        </w:rPr>
        <w:t xml:space="preserve">For Sumitomo Infrastructure Holdings K.K.</w:t>
      </w:r>
      <w:r>
        <w:br/>
      </w:r>
      <w:r>
        <w:t xml:space="preserve">Name: Hiroshi Tanaka</w:t>
      </w:r>
      <w:r>
        <w:br/>
      </w:r>
      <w:r>
        <w:t xml:space="preserve">Title: Director of Engineering</w:t>
      </w:r>
      <w:r>
        <w:br/>
      </w:r>
      <w:r>
        <w:t xml:space="preserve">Date: _______________</w:t>
      </w:r>
    </w:p>
    <w:p>
      <w:pPr>
        <w:pStyle w:val="BodyText"/>
      </w:pPr>
      <w:r>
        <w:t xml:space="preserve">Katsura Telecom Solutions Ltd. | 4-2-1 Shibuya, Shibuya-ku, Tokyo 150-0002, Japan | Corp. No. 4010401087654</w:t>
      </w:r>
    </w:p>
    <w:p>
      <w:pPr>
        <w:pStyle w:val="BodyText"/>
      </w:pPr>
      <w:r>
        <w:t xml:space="preserve">This Quotation Estimate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Japan Tokyo</dc:title>
  <dc:creator/>
  <dc:language>en</dc:language>
  <cp:keywords/>
  <dcterms:created xsi:type="dcterms:W3CDTF">2026-10-10T02:32:36Z</dcterms:created>
  <dcterms:modified xsi:type="dcterms:W3CDTF">2026-10-10T02:32:36Z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