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Telecommunication</w:t>
      </w:r>
      <w:r>
        <w:t xml:space="preserve"> </w:t>
      </w:r>
      <w:r>
        <w:t xml:space="preserve">Engineer</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Telecommunication Engineering Services</w:t>
      </w:r>
    </w:p>
    <w:p>
      <w:pPr>
        <w:pStyle w:val="BodyText"/>
      </w:pPr>
      <w:r>
        <w:t xml:space="preserve">Kazakhstan Almaty Region</w:t>
      </w:r>
    </w:p>
    <w:bookmarkEnd w:id="20"/>
    <w:bookmarkStart w:id="21" w:name="quotation-details"/>
    <w:p>
      <w:pPr>
        <w:pStyle w:val="Heading3"/>
      </w:pPr>
      <w:r>
        <w:t xml:space="preserve">Quotation Details</w:t>
      </w:r>
    </w:p>
    <w:p>
      <w:pPr>
        <w:pStyle w:val="FirstParagraph"/>
      </w:pPr>
      <w:r>
        <w:rPr>
          <w:bCs/>
          <w:b/>
        </w:rPr>
        <w:t xml:space="preserve">Quotation No.:</w:t>
      </w:r>
      <w:r>
        <w:t xml:space="preserve"> </w:t>
      </w:r>
      <w:r>
        <w:t xml:space="preserve">QE-KZ-ALM-2025-0472</w:t>
      </w:r>
    </w:p>
    <w:p>
      <w:pPr>
        <w:pStyle w:val="BodyText"/>
      </w:pPr>
      <w:r>
        <w:rPr>
          <w:bCs/>
          <w:b/>
        </w:rPr>
        <w:t xml:space="preserve">Date of Issue:</w:t>
      </w:r>
      <w:r>
        <w:t xml:space="preserve"> </w:t>
      </w:r>
      <w:r>
        <w:t xml:space="preserve">15 June 2025</w:t>
      </w:r>
    </w:p>
    <w:p>
      <w:pPr>
        <w:pStyle w:val="BodyText"/>
      </w:pPr>
      <w:r>
        <w:rPr>
          <w:bCs/>
          <w:b/>
        </w:rPr>
        <w:t xml:space="preserve">Valid Until:</w:t>
      </w:r>
      <w:r>
        <w:t xml:space="preserve"> </w:t>
      </w:r>
      <w:r>
        <w:t xml:space="preserve">15 July 2025 (30 days)</w:t>
      </w:r>
    </w:p>
    <w:p>
      <w:pPr>
        <w:pStyle w:val="BodyText"/>
      </w:pPr>
      <w:r>
        <w:rPr>
          <w:bCs/>
          <w:b/>
        </w:rPr>
        <w:t xml:space="preserve">Currency:</w:t>
      </w:r>
      <w:r>
        <w:t xml:space="preserve"> </w:t>
      </w:r>
      <w:r>
        <w:t xml:space="preserve">USD / KZT (Kazakhstani Tenge)</w:t>
      </w:r>
    </w:p>
    <w:bookmarkEnd w:id="21"/>
    <w:bookmarkStart w:id="22" w:name="prepared-by"/>
    <w:p>
      <w:pPr>
        <w:pStyle w:val="Heading3"/>
      </w:pPr>
      <w:r>
        <w:t xml:space="preserve">Prepared By</w:t>
      </w:r>
    </w:p>
    <w:p>
      <w:pPr>
        <w:pStyle w:val="FirstParagraph"/>
      </w:pPr>
      <w:r>
        <w:rPr>
          <w:bCs/>
          <w:b/>
        </w:rPr>
        <w:t xml:space="preserve">Company:</w:t>
      </w:r>
      <w:r>
        <w:t xml:space="preserve"> </w:t>
      </w:r>
      <w:r>
        <w:t xml:space="preserve">Altai Telecom Solutions LLP</w:t>
      </w:r>
    </w:p>
    <w:p>
      <w:pPr>
        <w:pStyle w:val="BodyText"/>
      </w:pPr>
      <w:r>
        <w:rPr>
          <w:bCs/>
          <w:b/>
        </w:rPr>
        <w:t xml:space="preserve">Address:</w:t>
      </w:r>
      <w:r>
        <w:t xml:space="preserve"> </w:t>
      </w:r>
      <w:r>
        <w:t xml:space="preserve">45 Abai Avenue, Almaty, Kazakhstan</w:t>
      </w:r>
    </w:p>
    <w:p>
      <w:pPr>
        <w:pStyle w:val="BodyText"/>
      </w:pPr>
      <w:r>
        <w:rPr>
          <w:bCs/>
          <w:b/>
        </w:rPr>
        <w:t xml:space="preserve">Contact:</w:t>
      </w:r>
      <w:r>
        <w:t xml:space="preserve"> </w:t>
      </w:r>
      <w:r>
        <w:t xml:space="preserve">+7 (727) 555-0142</w:t>
      </w:r>
    </w:p>
    <w:p>
      <w:pPr>
        <w:pStyle w:val="BodyText"/>
      </w:pPr>
      <w:r>
        <w:rPr>
          <w:bCs/>
          <w:b/>
        </w:rPr>
        <w:t xml:space="preserve">Email:</w:t>
      </w:r>
      <w:r>
        <w:t xml:space="preserve"> </w:t>
      </w:r>
      <w:r>
        <w:t xml:space="preserve">estimates@altaitelecom.kz</w:t>
      </w:r>
    </w:p>
    <w:bookmarkEnd w:id="22"/>
    <w:bookmarkStart w:id="23" w:name="prepared-for-client"/>
    <w:p>
      <w:pPr>
        <w:pStyle w:val="Heading3"/>
      </w:pPr>
      <w:r>
        <w:t xml:space="preserve">Prepared For (Client)</w:t>
      </w:r>
    </w:p>
    <w:p>
      <w:pPr>
        <w:pStyle w:val="FirstParagraph"/>
      </w:pPr>
      <w:r>
        <w:rPr>
          <w:bCs/>
          <w:b/>
        </w:rPr>
        <w:t xml:space="preserve">Client Name:</w:t>
      </w:r>
      <w:r>
        <w:t xml:space="preserve"> </w:t>
      </w:r>
      <w:r>
        <w:t xml:space="preserve">[Client Company Name]</w:t>
      </w:r>
    </w:p>
    <w:p>
      <w:pPr>
        <w:pStyle w:val="BodyText"/>
      </w:pPr>
      <w:r>
        <w:rPr>
          <w:bCs/>
          <w:b/>
        </w:rPr>
        <w:t xml:space="preserve">Address:</w:t>
      </w:r>
      <w:r>
        <w:t xml:space="preserve"> </w:t>
      </w:r>
      <w:r>
        <w:t xml:space="preserve">[Client Address], Almaty, Kazakhstan</w:t>
      </w:r>
    </w:p>
    <w:p>
      <w:pPr>
        <w:pStyle w:val="BodyText"/>
      </w:pPr>
      <w:r>
        <w:rPr>
          <w:bCs/>
          <w:b/>
        </w:rPr>
        <w:t xml:space="preserve">Project Site:</w:t>
      </w:r>
      <w:r>
        <w:t xml:space="preserve"> </w:t>
      </w:r>
      <w:r>
        <w:t xml:space="preserve">Kazakhstan Almaty Metropolitan Area</w:t>
      </w:r>
    </w:p>
    <w:p>
      <w:pPr>
        <w:pStyle w:val="BodyText"/>
      </w:pPr>
      <w:r>
        <w:rPr>
          <w:bCs/>
          <w:b/>
        </w:rPr>
        <w:t xml:space="preserve">Reference:</w:t>
      </w:r>
      <w:r>
        <w:t xml:space="preserve"> </w:t>
      </w:r>
      <w:r>
        <w:t xml:space="preserve">[Client PO / Project Ref. No.]</w:t>
      </w:r>
    </w:p>
    <w:bookmarkEnd w:id="23"/>
    <w:bookmarkStart w:id="24" w:name="project-classification"/>
    <w:p>
      <w:pPr>
        <w:pStyle w:val="Heading3"/>
      </w:pPr>
      <w:r>
        <w:t xml:space="preserve">Project Classification</w:t>
      </w:r>
    </w:p>
    <w:p>
      <w:pPr>
        <w:pStyle w:val="FirstParagraph"/>
      </w:pPr>
      <w:r>
        <w:rPr>
          <w:bCs/>
          <w:b/>
        </w:rPr>
        <w:t xml:space="preserve">Service Category:</w:t>
      </w:r>
      <w:r>
        <w:t xml:space="preserve"> </w:t>
      </w:r>
      <w:r>
        <w:t xml:space="preserve">Telecommunication Engineering</w:t>
      </w:r>
    </w:p>
    <w:p>
      <w:pPr>
        <w:pStyle w:val="BodyText"/>
      </w:pPr>
      <w:r>
        <w:rPr>
          <w:bCs/>
          <w:b/>
        </w:rPr>
        <w:t xml:space="preserve">Location:</w:t>
      </w:r>
      <w:r>
        <w:t xml:space="preserve"> </w:t>
      </w:r>
      <w:r>
        <w:t xml:space="preserve">Kazakhstan Almaty</w:t>
      </w:r>
    </w:p>
    <w:p>
      <w:pPr>
        <w:pStyle w:val="BodyText"/>
      </w:pPr>
      <w:r>
        <w:rPr>
          <w:bCs/>
          <w:b/>
        </w:rPr>
        <w:t xml:space="preserve">Duration:</w:t>
      </w:r>
      <w:r>
        <w:t xml:space="preserve"> </w:t>
      </w:r>
      <w:r>
        <w:t xml:space="preserve">12 weeks (estimated)</w:t>
      </w:r>
    </w:p>
    <w:p>
      <w:pPr>
        <w:pStyle w:val="BodyText"/>
      </w:pPr>
      <w:r>
        <w:rPr>
          <w:bCs/>
          <w:b/>
        </w:rPr>
        <w:t xml:space="preserve">Classification:</w:t>
      </w:r>
      <w:r>
        <w:t xml:space="preserve"> </w:t>
      </w:r>
      <w:r>
        <w:t xml:space="preserve">Commercial / Industrial</w:t>
      </w:r>
    </w:p>
    <w:bookmarkEnd w:id="24"/>
    <w:p>
      <w:pPr>
        <w:pStyle w:val="BodyText"/>
      </w:pPr>
      <w:r>
        <w:t xml:space="preserve">1. Scope of Work – Telecommunication Engineer Services</w:t>
      </w:r>
    </w:p>
    <w:p>
      <w:pPr>
        <w:pStyle w:val="BodyText"/>
      </w:pPr>
      <w:r>
        <w:t xml:space="preserve">This</w:t>
      </w:r>
      <w:r>
        <w:t xml:space="preserve"> </w:t>
      </w:r>
      <w:r>
        <w:t xml:space="preserve">Quotation Estimate</w:t>
      </w:r>
      <w:r>
        <w:t xml:space="preserve"> </w:t>
      </w:r>
      <w:r>
        <w:t xml:space="preserve">is issued by Altai Telecom Solutions LLP to provide comprehensive</w:t>
      </w:r>
      <w:r>
        <w:t xml:space="preserve"> </w:t>
      </w:r>
      <w:r>
        <w:t xml:space="preserve">Telecommunication Engineer</w:t>
      </w:r>
      <w:r>
        <w:t xml:space="preserve"> </w:t>
      </w:r>
      <w:r>
        <w:t xml:space="preserve">services for the design, installation, commissioning, and maintenance of telecommunications infrastructure within the</w:t>
      </w:r>
      <w:r>
        <w:t xml:space="preserve"> </w:t>
      </w:r>
      <w:r>
        <w:t xml:space="preserve">Kazakhstan Almaty</w:t>
      </w:r>
      <w:r>
        <w:t xml:space="preserve"> </w:t>
      </w:r>
      <w:r>
        <w:t xml:space="preserve">metropolitan area. The scope encompasses all engineering activities required to deliver a fully operational telecommunication network compliant with the national standards of the Republic of Kazakhstan, including but not limited to the regulations set forth by the Agency for Regulatory Services of the Republic of Kazakhstan.</w:t>
      </w:r>
    </w:p>
    <w:p>
      <w:pPr>
        <w:pStyle w:val="BodyText"/>
      </w:pPr>
      <w:r>
        <w:t xml:space="preserve">The assigned</w:t>
      </w:r>
      <w:r>
        <w:t xml:space="preserve"> </w:t>
      </w:r>
      <w:r>
        <w:t xml:space="preserve">Telecommunication Engineer</w:t>
      </w:r>
      <w:r>
        <w:t xml:space="preserve"> </w:t>
      </w:r>
      <w:r>
        <w:t xml:space="preserve">will be a certified professional with a minimum of ten (10) years of experience in fiber-optic network deployment, microwave link installation, and IP-based telecommunication system architecture. All work will be conducted in accordance with the local building codes and telecommunications regulations applicable in</w:t>
      </w:r>
      <w:r>
        <w:t xml:space="preserve"> </w:t>
      </w:r>
      <w:r>
        <w:t xml:space="preserve">Kazakhstan Almaty</w:t>
      </w:r>
      <w:r>
        <w:t xml:space="preserve">.</w:t>
      </w:r>
    </w:p>
    <w:p>
      <w:pPr>
        <w:pStyle w:val="BodyText"/>
      </w:pPr>
      <w:r>
        <w:t xml:space="preserve">2.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No.</w:t>
            </w:r>
          </w:p>
        </w:tc>
        <w:tc>
          <w:tcPr/>
          <w:p>
            <w:pPr>
              <w:pStyle w:val="Compact"/>
              <w:jc w:val="left"/>
            </w:pPr>
            <w:r>
              <w:t xml:space="preserve">Description of Telecommunication Engineering Service</w:t>
            </w:r>
          </w:p>
        </w:tc>
        <w:tc>
          <w:tcPr/>
          <w:p>
            <w:pPr>
              <w:pStyle w:val="Compact"/>
              <w:jc w:val="left"/>
            </w:pPr>
            <w:r>
              <w:t xml:space="preserve">Unit</w:t>
            </w:r>
          </w:p>
        </w:tc>
        <w:tc>
          <w:tcPr/>
          <w:p>
            <w:pPr>
              <w:pStyle w:val="Compact"/>
              <w:jc w:val="left"/>
            </w:pPr>
            <w:r>
              <w:t xml:space="preserve">Qty</w:t>
            </w:r>
          </w:p>
        </w:tc>
        <w:tc>
          <w:tcPr/>
          <w:p>
            <w:pPr>
              <w:pStyle w:val="Compact"/>
              <w:jc w:val="left"/>
            </w:pPr>
            <w:r>
              <w:t xml:space="preserve">Unit Rate (USD)</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Site survey and feasibility assessment for telecommunication network deployment in Kazakhstan Almaty</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2</w:t>
            </w:r>
          </w:p>
        </w:tc>
        <w:tc>
          <w:tcPr/>
          <w:p>
            <w:pPr>
              <w:pStyle w:val="Compact"/>
              <w:jc w:val="left"/>
            </w:pPr>
            <w:r>
              <w:t xml:space="preserve">Design and engineering documentation for fiber-optic backbone (single-mode, 96-core) across Almaty district</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3</w:t>
            </w:r>
          </w:p>
        </w:tc>
        <w:tc>
          <w:tcPr/>
          <w:p>
            <w:pPr>
              <w:pStyle w:val="Compact"/>
              <w:jc w:val="left"/>
            </w:pPr>
            <w:r>
              <w:t xml:space="preserve">Installation and termination of 15 km fiber-optic cable (outdoor, armored) in Kazakhstan Almaty</w:t>
            </w:r>
          </w:p>
        </w:tc>
        <w:tc>
          <w:tcPr/>
          <w:p>
            <w:pPr>
              <w:pStyle w:val="Compact"/>
              <w:jc w:val="left"/>
            </w:pPr>
            <w:r>
              <w:t xml:space="preserve">km</w:t>
            </w:r>
          </w:p>
        </w:tc>
        <w:tc>
          <w:tcPr/>
          <w:p>
            <w:pPr>
              <w:pStyle w:val="Compact"/>
              <w:jc w:val="left"/>
            </w:pPr>
            <w:r>
              <w:t xml:space="preserve">15</w:t>
            </w:r>
          </w:p>
        </w:tc>
        <w:tc>
          <w:tcPr/>
          <w:p>
            <w:pPr>
              <w:pStyle w:val="Compact"/>
              <w:jc w:val="left"/>
            </w:pPr>
            <w:r>
              <w:t xml:space="preserve">1,200.00</w:t>
            </w:r>
          </w:p>
        </w:tc>
        <w:tc>
          <w:tcPr/>
          <w:p>
            <w:pPr>
              <w:pStyle w:val="Compact"/>
              <w:jc w:val="left"/>
            </w:pPr>
            <w:r>
              <w:t xml:space="preserve">18,000.00</w:t>
            </w:r>
          </w:p>
        </w:tc>
      </w:tr>
      <w:tr>
        <w:tc>
          <w:tcPr/>
          <w:p>
            <w:pPr>
              <w:pStyle w:val="Compact"/>
              <w:jc w:val="left"/>
            </w:pPr>
            <w:r>
              <w:t xml:space="preserve">4</w:t>
            </w:r>
          </w:p>
        </w:tc>
        <w:tc>
          <w:tcPr/>
          <w:p>
            <w:pPr>
              <w:pStyle w:val="Compact"/>
              <w:jc w:val="left"/>
            </w:pPr>
            <w:r>
              <w:t xml:space="preserve">Deployment and configuration of 48-port managed switches and optical line terminals (OLT)</w:t>
            </w:r>
          </w:p>
        </w:tc>
        <w:tc>
          <w:tcPr/>
          <w:p>
            <w:pPr>
              <w:pStyle w:val="Compact"/>
              <w:jc w:val="left"/>
            </w:pPr>
            <w:r>
              <w:t xml:space="preserve">Set</w:t>
            </w:r>
          </w:p>
        </w:tc>
        <w:tc>
          <w:tcPr/>
          <w:p>
            <w:pPr>
              <w:pStyle w:val="Compact"/>
              <w:jc w:val="left"/>
            </w:pPr>
            <w:r>
              <w:t xml:space="preserve">3</w:t>
            </w:r>
          </w:p>
        </w:tc>
        <w:tc>
          <w:tcPr/>
          <w:p>
            <w:pPr>
              <w:pStyle w:val="Compact"/>
              <w:jc w:val="left"/>
            </w:pPr>
            <w:r>
              <w:t xml:space="preserve">3,200.00</w:t>
            </w:r>
          </w:p>
        </w:tc>
        <w:tc>
          <w:tcPr/>
          <w:p>
            <w:pPr>
              <w:pStyle w:val="Compact"/>
              <w:jc w:val="left"/>
            </w:pPr>
            <w:r>
              <w:t xml:space="preserve">9,600.00</w:t>
            </w:r>
          </w:p>
        </w:tc>
      </w:tr>
      <w:tr>
        <w:tc>
          <w:tcPr/>
          <w:p>
            <w:pPr>
              <w:pStyle w:val="Compact"/>
              <w:jc w:val="left"/>
            </w:pPr>
            <w:r>
              <w:t xml:space="preserve">5</w:t>
            </w:r>
          </w:p>
        </w:tc>
        <w:tc>
          <w:tcPr/>
          <w:p>
            <w:pPr>
              <w:pStyle w:val="Compact"/>
              <w:jc w:val="left"/>
            </w:pPr>
            <w:r>
              <w:t xml:space="preserve">Installation of microwave radio link (5.8 GHz, 20 km range) for redundancy in Almaty</w:t>
            </w:r>
          </w:p>
        </w:tc>
        <w:tc>
          <w:tcPr/>
          <w:p>
            <w:pPr>
              <w:pStyle w:val="Compact"/>
              <w:jc w:val="left"/>
            </w:pPr>
            <w:r>
              <w:t xml:space="preserve">Link</w:t>
            </w:r>
          </w:p>
        </w:tc>
        <w:tc>
          <w:tcPr/>
          <w:p>
            <w:pPr>
              <w:pStyle w:val="Compact"/>
              <w:jc w:val="left"/>
            </w:pPr>
            <w:r>
              <w:t xml:space="preserve">2</w:t>
            </w:r>
          </w:p>
        </w:tc>
        <w:tc>
          <w:tcPr/>
          <w:p>
            <w:pPr>
              <w:pStyle w:val="Compact"/>
              <w:jc w:val="left"/>
            </w:pPr>
            <w:r>
              <w:t xml:space="preserve">5,500.00</w:t>
            </w:r>
          </w:p>
        </w:tc>
        <w:tc>
          <w:tcPr/>
          <w:p>
            <w:pPr>
              <w:pStyle w:val="Compact"/>
              <w:jc w:val="left"/>
            </w:pPr>
            <w:r>
              <w:t xml:space="preserve">11,000.00</w:t>
            </w:r>
          </w:p>
        </w:tc>
      </w:tr>
      <w:tr>
        <w:tc>
          <w:tcPr/>
          <w:p>
            <w:pPr>
              <w:pStyle w:val="Compact"/>
              <w:jc w:val="left"/>
            </w:pPr>
            <w:r>
              <w:t xml:space="preserve">6</w:t>
            </w:r>
          </w:p>
        </w:tc>
        <w:tc>
          <w:tcPr/>
          <w:p>
            <w:pPr>
              <w:pStyle w:val="Compact"/>
              <w:jc w:val="left"/>
            </w:pPr>
            <w:r>
              <w:t xml:space="preserve">Telecommunication Engineer on-site supervision and commissioning (daily rate)</w:t>
            </w:r>
          </w:p>
        </w:tc>
        <w:tc>
          <w:tcPr/>
          <w:p>
            <w:pPr>
              <w:pStyle w:val="Compact"/>
              <w:jc w:val="left"/>
            </w:pPr>
            <w:r>
              <w:t xml:space="preserve">Day</w:t>
            </w:r>
          </w:p>
        </w:tc>
        <w:tc>
          <w:tcPr/>
          <w:p>
            <w:pPr>
              <w:pStyle w:val="Compact"/>
              <w:jc w:val="left"/>
            </w:pPr>
            <w:r>
              <w:t xml:space="preserve">45</w:t>
            </w:r>
          </w:p>
        </w:tc>
        <w:tc>
          <w:tcPr/>
          <w:p>
            <w:pPr>
              <w:pStyle w:val="Compact"/>
              <w:jc w:val="left"/>
            </w:pPr>
            <w:r>
              <w:t xml:space="preserve">350.00</w:t>
            </w:r>
          </w:p>
        </w:tc>
        <w:tc>
          <w:tcPr/>
          <w:p>
            <w:pPr>
              <w:pStyle w:val="Compact"/>
              <w:jc w:val="left"/>
            </w:pPr>
            <w:r>
              <w:t xml:space="preserve">15,750.00</w:t>
            </w:r>
          </w:p>
        </w:tc>
      </w:tr>
      <w:tr>
        <w:tc>
          <w:tcPr/>
          <w:p>
            <w:pPr>
              <w:pStyle w:val="Compact"/>
              <w:jc w:val="left"/>
            </w:pPr>
            <w:r>
              <w:t xml:space="preserve">7</w:t>
            </w:r>
          </w:p>
        </w:tc>
        <w:tc>
          <w:tcPr/>
          <w:p>
            <w:pPr>
              <w:pStyle w:val="Compact"/>
              <w:jc w:val="left"/>
            </w:pPr>
            <w:r>
              <w:t xml:space="preserve">Testing, performance verification, and as-built documentation</w:t>
            </w:r>
          </w:p>
        </w:tc>
        <w:tc>
          <w:tcPr/>
          <w:p>
            <w:pPr>
              <w:pStyle w:val="Compact"/>
              <w:jc w:val="left"/>
            </w:pPr>
            <w:r>
              <w:t xml:space="preserve">Lump Sum</w:t>
            </w:r>
          </w:p>
        </w:tc>
        <w:tc>
          <w:tcPr/>
          <w:p>
            <w:pPr>
              <w:pStyle w:val="Compact"/>
              <w:jc w:val="left"/>
            </w:pPr>
            <w:r>
              <w:t xml:space="preserve">1</w:t>
            </w:r>
          </w:p>
        </w:tc>
        <w:tc>
          <w:tcPr/>
          <w:p>
            <w:pPr>
              <w:pStyle w:val="Compact"/>
              <w:jc w:val="left"/>
            </w:pPr>
            <w:r>
              <w:t xml:space="preserve">3,800.00</w:t>
            </w:r>
          </w:p>
        </w:tc>
        <w:tc>
          <w:tcPr/>
          <w:p>
            <w:pPr>
              <w:pStyle w:val="Compact"/>
              <w:jc w:val="left"/>
            </w:pPr>
            <w:r>
              <w:t xml:space="preserve">3,800.00</w:t>
            </w:r>
          </w:p>
        </w:tc>
      </w:tr>
      <w:tr>
        <w:tc>
          <w:tcPr/>
          <w:p>
            <w:pPr>
              <w:pStyle w:val="Compact"/>
              <w:jc w:val="left"/>
            </w:pPr>
            <w:r>
              <w:t xml:space="preserve">8</w:t>
            </w:r>
          </w:p>
        </w:tc>
        <w:tc>
          <w:tcPr/>
          <w:p>
            <w:pPr>
              <w:pStyle w:val="Compact"/>
              <w:jc w:val="left"/>
            </w:pPr>
            <w:r>
              <w:t xml:space="preserve">Training for client staff on network management and basic troubleshooting (2 sessions)</w:t>
            </w:r>
          </w:p>
        </w:tc>
        <w:tc>
          <w:tcPr/>
          <w:p>
            <w:pPr>
              <w:pStyle w:val="Compact"/>
              <w:jc w:val="left"/>
            </w:pPr>
            <w:r>
              <w:t xml:space="preserve">Session</w:t>
            </w:r>
          </w:p>
        </w:tc>
        <w:tc>
          <w:tcPr/>
          <w:p>
            <w:pPr>
              <w:pStyle w:val="Compact"/>
              <w:jc w:val="left"/>
            </w:pPr>
            <w:r>
              <w:t xml:space="preserve">2</w:t>
            </w:r>
          </w:p>
        </w:tc>
        <w:tc>
          <w:tcPr/>
          <w:p>
            <w:pPr>
              <w:pStyle w:val="Compact"/>
              <w:jc w:val="left"/>
            </w:pPr>
            <w:r>
              <w:t xml:space="preserve">1,500.00</w:t>
            </w:r>
          </w:p>
        </w:tc>
        <w:tc>
          <w:tcPr/>
          <w:p>
            <w:pPr>
              <w:pStyle w:val="Compact"/>
              <w:jc w:val="left"/>
            </w:pPr>
            <w:r>
              <w:t xml:space="preserve">3,000.00</w:t>
            </w:r>
          </w:p>
        </w:tc>
      </w:tr>
      <w:tr>
        <w:tc>
          <w:tcPr/>
          <w:p>
            <w:pPr>
              <w:pStyle w:val="Compact"/>
              <w:jc w:val="left"/>
            </w:pPr>
            <w:r>
              <w:t xml:space="preserve">9</w:t>
            </w:r>
          </w:p>
        </w:tc>
        <w:tc>
          <w:tcPr/>
          <w:p>
            <w:pPr>
              <w:pStyle w:val="Compact"/>
              <w:jc w:val="left"/>
            </w:pPr>
            <w:r>
              <w:t xml:space="preserve">Warranty and post-commissioning support (12 months, remote + 2 on-site visits in Almaty)</w:t>
            </w:r>
          </w:p>
        </w:tc>
        <w:tc>
          <w:tcPr/>
          <w:p>
            <w:pPr>
              <w:pStyle w:val="Compact"/>
              <w:jc w:val="left"/>
            </w:pPr>
            <w:r>
              <w:t xml:space="preserve">Year</w:t>
            </w:r>
          </w:p>
        </w:tc>
        <w:tc>
          <w:tcPr/>
          <w:p>
            <w:pPr>
              <w:pStyle w:val="Compact"/>
              <w:jc w:val="left"/>
            </w:pPr>
            <w:r>
              <w:t xml:space="preserve">1</w:t>
            </w:r>
          </w:p>
        </w:tc>
        <w:tc>
          <w:tcPr/>
          <w:p>
            <w:pPr>
              <w:pStyle w:val="Compact"/>
              <w:jc w:val="left"/>
            </w:pPr>
            <w:r>
              <w:t xml:space="preserve">6,000.00</w:t>
            </w:r>
          </w:p>
        </w:tc>
        <w:tc>
          <w:tcPr/>
          <w:p>
            <w:pPr>
              <w:pStyle w:val="Compact"/>
              <w:jc w:val="left"/>
            </w:pPr>
            <w:r>
              <w:t xml:space="preserve">6,000.00</w:t>
            </w:r>
          </w:p>
        </w:tc>
      </w:tr>
      <w:tr>
        <w:tc>
          <w:tcPr>
            <w:gridSpan w:val="5"/>
          </w:tcPr>
          <w:p>
            <w:pPr>
              <w:pStyle w:val="Compact"/>
              <w:jc w:val="right"/>
            </w:pPr>
            <w:r>
              <w:t xml:space="preserve">SUBTOTAL</w:t>
            </w:r>
          </w:p>
        </w:tc>
        <w:tc>
          <w:tcPr/>
          <w:p>
            <w:pPr>
              <w:pStyle w:val="Compact"/>
              <w:jc w:val="left"/>
            </w:pPr>
            <w:r>
              <w:t xml:space="preserve">84,450.00</w:t>
            </w:r>
          </w:p>
        </w:tc>
      </w:tr>
      <w:tr>
        <w:tc>
          <w:tcPr>
            <w:gridSpan w:val="5"/>
          </w:tcPr>
          <w:p>
            <w:pPr>
              <w:pStyle w:val="Compact"/>
              <w:jc w:val="right"/>
            </w:pPr>
            <w:r>
              <w:t xml:space="preserve">VAT (12% – Kazakhstan)</w:t>
            </w:r>
          </w:p>
        </w:tc>
        <w:tc>
          <w:tcPr/>
          <w:p>
            <w:pPr>
              <w:pStyle w:val="Compact"/>
              <w:jc w:val="left"/>
            </w:pPr>
            <w:r>
              <w:t xml:space="preserve">10,134.00</w:t>
            </w:r>
          </w:p>
        </w:tc>
      </w:tr>
      <w:tr>
        <w:tc>
          <w:tcPr>
            <w:gridSpan w:val="5"/>
          </w:tcPr>
          <w:p>
            <w:pPr>
              <w:pStyle w:val="Compact"/>
              <w:jc w:val="right"/>
            </w:pPr>
            <w:r>
              <w:rPr>
                <w:bCs/>
                <w:b/>
              </w:rPr>
              <w:t xml:space="preserve">TOTAL ESTIMATED COST</w:t>
            </w:r>
          </w:p>
        </w:tc>
        <w:tc>
          <w:tcPr/>
          <w:p>
            <w:pPr>
              <w:pStyle w:val="Compact"/>
              <w:jc w:val="left"/>
            </w:pPr>
            <w:r>
              <w:rPr>
                <w:bCs/>
                <w:b/>
              </w:rPr>
              <w:t xml:space="preserve">94,584.00 USD</w:t>
            </w:r>
          </w:p>
        </w:tc>
      </w:tr>
    </w:tbl>
    <w:p>
      <w:pPr>
        <w:pStyle w:val="BodyText"/>
      </w:pPr>
      <w:r>
        <w:rPr>
          <w:bCs/>
          <w:b/>
        </w:rPr>
        <w:t xml:space="preserve">Note:</w:t>
      </w:r>
      <w:r>
        <w:t xml:space="preserve"> </w:t>
      </w:r>
      <w:r>
        <w:t xml:space="preserve">All rates in this Quotation Estimate are exclusive of import duties, customs clearance fees, and any third-party permits required by local authorities in Kazakhstan Almaty. The Telecommunication Engineer's travel and accommodation within Almaty are included in the daily rate. If the project extends beyond the Almaty city limits, additional travel charges will apply at a rate of USD 80 per day.</w:t>
      </w:r>
    </w:p>
    <w:p>
      <w:pPr>
        <w:pStyle w:val="BodyText"/>
      </w:pPr>
      <w:r>
        <w:t xml:space="preserve">3. Terms and Conditions</w:t>
      </w:r>
    </w:p>
    <w:p>
      <w:pPr>
        <w:numPr>
          <w:ilvl w:val="0"/>
          <w:numId w:val="1001"/>
        </w:numPr>
        <w:pStyle w:val="Compact"/>
      </w:pPr>
      <w:r>
        <w:t xml:space="preserve">This Quotation Estimate is valid for thirty (30) calendar days from the date of issue. After the expiry date, pricing may be subject to revision due to market fluctuations in telecommunications equipment costs in Kazakhstan.</w:t>
      </w:r>
    </w:p>
    <w:p>
      <w:pPr>
        <w:numPr>
          <w:ilvl w:val="0"/>
          <w:numId w:val="1001"/>
        </w:numPr>
        <w:pStyle w:val="Compact"/>
      </w:pPr>
      <w:r>
        <w:t xml:space="preserve">Payment terms: 30% advance payment upon acceptance of this Quotation Estimate, 40% upon completion of installation and commissioning, and 30% upon final acceptance and handover of as-built documentation.</w:t>
      </w:r>
    </w:p>
    <w:p>
      <w:pPr>
        <w:numPr>
          <w:ilvl w:val="0"/>
          <w:numId w:val="1001"/>
        </w:numPr>
        <w:pStyle w:val="Compact"/>
      </w:pPr>
      <w:r>
        <w:t xml:space="preserve">The Telecommunication Engineer shall comply with all occupational health and safety regulations in force in Kazakhstan Almaty, including but not limited to the requirements of the Ministry of Emergency Situations of the Republic of Kazakhstan.</w:t>
      </w:r>
    </w:p>
    <w:p>
      <w:pPr>
        <w:numPr>
          <w:ilvl w:val="0"/>
          <w:numId w:val="1001"/>
        </w:numPr>
        <w:pStyle w:val="Compact"/>
      </w:pPr>
      <w:r>
        <w:t xml:space="preserve">All telecommunications equipment supplied under this estimate shall carry a minimum manufacturer warranty of two (2) years from the date of commissioning.</w:t>
      </w:r>
    </w:p>
    <w:p>
      <w:pPr>
        <w:numPr>
          <w:ilvl w:val="0"/>
          <w:numId w:val="1001"/>
        </w:numPr>
        <w:pStyle w:val="Compact"/>
      </w:pPr>
      <w:r>
        <w:t xml:space="preserve">Any changes to the scope of work must be agreed upon in writing by both parties. A supplementary Quotation Estimate will be issued for any additional or modified services.</w:t>
      </w:r>
    </w:p>
    <w:p>
      <w:pPr>
        <w:numPr>
          <w:ilvl w:val="0"/>
          <w:numId w:val="1001"/>
        </w:numPr>
        <w:pStyle w:val="Compact"/>
      </w:pPr>
      <w:r>
        <w:t xml:space="preserve">The project timeline of twelve (12) weeks is contingent upon timely provision of site access, permits, and client approvals. Delays attributable to the client or third-party authorities in Kazakhstan Almaty will extend the timeline accordingly.</w:t>
      </w:r>
    </w:p>
    <w:p>
      <w:pPr>
        <w:numPr>
          <w:ilvl w:val="0"/>
          <w:numId w:val="1001"/>
        </w:numPr>
        <w:pStyle w:val="Compact"/>
      </w:pPr>
      <w:r>
        <w:t xml:space="preserve">Disputes arising from this Quotation Estimate shall be resolved through arbitration in Almaty, Kazakhstan, in accordance with the rules of the Arbitration Center at the Chamber of Commerce and Industry of the Republic of Kazakhstan.</w:t>
      </w:r>
    </w:p>
    <w:p>
      <w:pPr>
        <w:numPr>
          <w:ilvl w:val="0"/>
          <w:numId w:val="1001"/>
        </w:numPr>
        <w:pStyle w:val="Compact"/>
      </w:pPr>
      <w:r>
        <w:t xml:space="preserve">This document constitutes a binding estimate only upon written acceptance by the client and does not constitute a contract until a formal Service Agreement is executed by both parties.</w:t>
      </w:r>
    </w:p>
    <w:p>
      <w:pPr>
        <w:pStyle w:val="FirstParagraph"/>
      </w:pPr>
      <w:r>
        <w:t xml:space="preserve">4. Acceptance and Authorization</w:t>
      </w:r>
    </w:p>
    <w:p>
      <w:pPr>
        <w:pStyle w:val="BodyText"/>
      </w:pPr>
      <w:r>
        <w:t xml:space="preserve">By signing below, the client acknowledges receipt of this Quotation Estimate for Telecommunication Engineer services in Kazakhstan Almaty and agrees to the terms, conditions, and pricing outlined herein. The undersigned Telecommunication Engineer confirms that the scope, methodology, and cost estimates presented are accurate and based on current market conditions in the Almaty region.</w:t>
      </w:r>
    </w:p>
    <w:p>
      <w:pPr>
        <w:pStyle w:val="BodyText"/>
      </w:pPr>
      <w:r>
        <w:rPr>
          <w:bCs/>
          <w:b/>
        </w:rPr>
        <w:t xml:space="preserve">For Altai Telecom Solutions LLP</w:t>
      </w:r>
      <w:r>
        <w:br/>
      </w:r>
      <w:r>
        <w:t xml:space="preserve">Name: _________________________</w:t>
      </w:r>
      <w:r>
        <w:br/>
      </w:r>
      <w:r>
        <w:t xml:space="preserve">Title: Lead Telecommunication Engineer</w:t>
      </w:r>
      <w:r>
        <w:br/>
      </w:r>
      <w:r>
        <w:t xml:space="preserve">Signature &amp; Date: _______________</w:t>
      </w:r>
    </w:p>
    <w:p>
      <w:pPr>
        <w:pStyle w:val="BodyText"/>
      </w:pPr>
      <w:r>
        <w:rPr>
          <w:bCs/>
          <w:b/>
        </w:rPr>
        <w:t xml:space="preserve">For the Client</w:t>
      </w:r>
      <w:r>
        <w:br/>
      </w:r>
      <w:r>
        <w:t xml:space="preserve">Name: _________________________</w:t>
      </w:r>
      <w:r>
        <w:br/>
      </w:r>
      <w:r>
        <w:t xml:space="preserve">Title: _________________________</w:t>
      </w:r>
      <w:r>
        <w:br/>
      </w:r>
      <w:r>
        <w:t xml:space="preserve">Signature &amp; Date: _______________</w:t>
      </w:r>
    </w:p>
    <w:p>
      <w:pPr>
        <w:pStyle w:val="BodyText"/>
      </w:pPr>
      <w:r>
        <w:t xml:space="preserve">Quotation Estimate No. QE-KZ-ALM-2025-0472 | Altai Telecom Solutions LLP | Almaty, Kazakhstan | Page 1 of 1</w:t>
      </w:r>
    </w:p>
    <w:p>
      <w:pPr>
        <w:pStyle w:val="BodyText"/>
      </w:pPr>
      <w:r>
        <w:t xml:space="preserve">This document is the property of Altai Telecom Solutions LLP and is intended solely for the named client.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Telecommunication Engineer - Kazakhstan Almaty</dc:title>
  <dc:creator/>
  <dc:language>en</dc:language>
  <cp:keywords/>
  <dcterms:created xsi:type="dcterms:W3CDTF">2026-10-10T06:39:36Z</dcterms:created>
  <dcterms:modified xsi:type="dcterms:W3CDTF">2026-10-10T06:39:36Z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