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rPr>
          <w:bCs/>
          <w:b/>
        </w:rPr>
        <w:t xml:space="preserve">Al-Nakheel Telecommunications Solutions W.L.L.</w:t>
      </w:r>
    </w:p>
    <w:p>
      <w:pPr>
        <w:pStyle w:val="BodyText"/>
      </w:pPr>
      <w:r>
        <w:t xml:space="preserve">P.O. Box 4521, Salmiya, Kuwait | Tel: +965 2244 8899 | Email: estimates@alnakheel-telecom.kw</w:t>
      </w:r>
    </w:p>
    <w:p>
      <w:pPr>
        <w:pStyle w:val="BodyText"/>
      </w:pPr>
      <w:r>
        <w:t xml:space="preserve">Commercial Registration No. 118452 | VAT No. 108452-331-0001</w:t>
      </w:r>
    </w:p>
    <w:bookmarkEnd w:id="20"/>
    <w:p>
      <w:pPr>
        <w:pStyle w:val="BodyText"/>
      </w:pPr>
      <w:r>
        <w:rPr>
          <w:bCs/>
          <w:b/>
        </w:rPr>
        <w:t xml:space="preserve">Quotation Estimate No.:</w:t>
      </w:r>
      <w:r>
        <w:t xml:space="preserve"> </w:t>
      </w:r>
      <w:r>
        <w:t xml:space="preserve">QTE-2025-KWT-0347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Location:</w:t>
      </w:r>
      <w:r>
        <w:t xml:space="preserve"> </w:t>
      </w:r>
      <w:r>
        <w:t xml:space="preserve">Kuwait, Kuwait City</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Ministry of Communications and Information Technology</w:t>
            </w:r>
          </w:p>
        </w:tc>
        <w:tc>
          <w:tcPr/>
          <w:p>
            <w:pPr>
              <w:pStyle w:val="Compact"/>
              <w:jc w:val="left"/>
            </w:pPr>
            <w:r>
              <w:rPr>
                <w:bCs/>
                <w:b/>
              </w:rPr>
              <w:t xml:space="preserve">Reference No.:</w:t>
            </w:r>
            <w:r>
              <w:t xml:space="preserve"> </w:t>
            </w:r>
            <w:r>
              <w:t xml:space="preserve">MCIT-2025-TEC-0892</w:t>
            </w:r>
          </w:p>
        </w:tc>
      </w:tr>
      <w:tr>
        <w:tc>
          <w:tcPr/>
          <w:p>
            <w:pPr>
              <w:pStyle w:val="Compact"/>
              <w:jc w:val="left"/>
            </w:pPr>
            <w:r>
              <w:rPr>
                <w:bCs/>
                <w:b/>
              </w:rPr>
              <w:t xml:space="preserve">Project Site:</w:t>
            </w:r>
            <w:r>
              <w:t xml:space="preserve"> </w:t>
            </w:r>
            <w:r>
              <w:t xml:space="preserve">Government Complex, Al-Salimiyah, Kuwait, Kuwait City</w:t>
            </w:r>
          </w:p>
        </w:tc>
        <w:tc>
          <w:tcPr/>
          <w:p>
            <w:pPr>
              <w:pStyle w:val="Compact"/>
              <w:jc w:val="left"/>
            </w:pPr>
            <w:r>
              <w:rPr>
                <w:bCs/>
                <w:b/>
              </w:rPr>
              <w:t xml:space="preserve">Point of Contact:</w:t>
            </w:r>
            <w:r>
              <w:t xml:space="preserve"> </w:t>
            </w:r>
            <w:r>
              <w:t xml:space="preserve">Eng. Khalid Al-Mubarak</w:t>
            </w:r>
          </w:p>
        </w:tc>
      </w:tr>
      <w:tr>
        <w:tc>
          <w:tcPr/>
          <w:p>
            <w:pPr>
              <w:pStyle w:val="Compact"/>
              <w:jc w:val="left"/>
            </w:pPr>
            <w:r>
              <w:rPr>
                <w:bCs/>
                <w:b/>
              </w:rPr>
              <w:t xml:space="preserve">Email:</w:t>
            </w:r>
            <w:r>
              <w:t xml:space="preserve"> </w:t>
            </w:r>
            <w:r>
              <w:t xml:space="preserve">k.al-mubarak@mcit.gov.kw</w:t>
            </w:r>
          </w:p>
        </w:tc>
        <w:tc>
          <w:tcPr/>
          <w:p>
            <w:pPr>
              <w:pStyle w:val="Compact"/>
              <w:jc w:val="left"/>
            </w:pPr>
            <w:r>
              <w:rPr>
                <w:bCs/>
                <w:b/>
              </w:rPr>
              <w:t xml:space="preserve">Phone:</w:t>
            </w:r>
            <w:r>
              <w:t xml:space="preserve"> </w:t>
            </w:r>
            <w:r>
              <w:t xml:space="preserve">+965 2244 1122</w:t>
            </w:r>
          </w:p>
        </w:tc>
      </w:tr>
    </w:tbl>
    <w:bookmarkEnd w:id="21"/>
    <w:bookmarkStart w:id="22" w:name="X95067ef301e04c13d50963faee2dec0659d7053"/>
    <w:p>
      <w:pPr>
        <w:pStyle w:val="Heading2"/>
      </w:pPr>
      <w:r>
        <w:t xml:space="preserve">2. Scope of Work – Telecommunication Engineer Services</w:t>
      </w:r>
    </w:p>
    <w:p>
      <w:pPr>
        <w:pStyle w:val="FirstParagraph"/>
      </w:pPr>
      <w:r>
        <w:t xml:space="preserve">This</w:t>
      </w:r>
      <w:r>
        <w:t xml:space="preserve"> </w:t>
      </w:r>
      <w:r>
        <w:t xml:space="preserve">Quotation Estimate</w:t>
      </w:r>
      <w:r>
        <w:t xml:space="preserve"> </w:t>
      </w:r>
      <w:r>
        <w:t xml:space="preserve">is issued by Al-Nakheel Telecommunications Solutions W.L.L. in response to the formal request for professional services from the Ministry of Communications and Information Technology. The scope of work pertains to the engagement of a certified</w:t>
      </w:r>
      <w:r>
        <w:t xml:space="preserve"> </w:t>
      </w:r>
      <w:r>
        <w:t xml:space="preserve">Telecommunication Engineer</w:t>
      </w:r>
      <w:r>
        <w:t xml:space="preserve"> </w:t>
      </w:r>
      <w:r>
        <w:t xml:space="preserve">to deliver comprehensive design, implementation, testing, and commissioning of telecommunications infrastructure at the designated government facility located in</w:t>
      </w:r>
      <w:r>
        <w:t xml:space="preserve"> </w:t>
      </w:r>
      <w:r>
        <w:t xml:space="preserve">Kuwait, Kuwait City</w:t>
      </w:r>
      <w:r>
        <w:t xml:space="preserve">. The</w:t>
      </w:r>
      <w:r>
        <w:t xml:space="preserve"> </w:t>
      </w:r>
      <w:r>
        <w:t xml:space="preserve">Telecommunication Engineer</w:t>
      </w:r>
      <w:r>
        <w:t xml:space="preserve"> </w:t>
      </w:r>
      <w:r>
        <w:t xml:space="preserve">shall be responsible for the following deliverables:</w:t>
      </w:r>
    </w:p>
    <w:p>
      <w:pPr>
        <w:numPr>
          <w:ilvl w:val="0"/>
          <w:numId w:val="1001"/>
        </w:numPr>
        <w:pStyle w:val="Compact"/>
      </w:pPr>
      <w:r>
        <w:t xml:space="preserve">Conduct a full-site survey and audit of the existing telecommunications network infrastructure at the Kuwait City premises, including fiber optic backbone, structured cabling, and wireless access points.</w:t>
      </w:r>
    </w:p>
    <w:p>
      <w:pPr>
        <w:numPr>
          <w:ilvl w:val="0"/>
          <w:numId w:val="1001"/>
        </w:numPr>
        <w:pStyle w:val="Compact"/>
      </w:pPr>
      <w:r>
        <w:t xml:space="preserve">Prepare detailed engineering design documents, including network topology diagrams, cable routing plans, and equipment scheduling, in compliance with Kuwaiti telecommunications regulations and ITU-T standards.</w:t>
      </w:r>
    </w:p>
    <w:p>
      <w:pPr>
        <w:numPr>
          <w:ilvl w:val="0"/>
          <w:numId w:val="1001"/>
        </w:numPr>
        <w:pStyle w:val="Compact"/>
      </w:pPr>
      <w:r>
        <w:t xml:space="preserve">Supervise and manage the physical installation of 12,000 linear meters of Cat6A structured cabling, 400 fiber optic drops, and 85 wireless access points across six floors of the facility.</w:t>
      </w:r>
    </w:p>
    <w:p>
      <w:pPr>
        <w:numPr>
          <w:ilvl w:val="0"/>
          <w:numId w:val="1001"/>
        </w:numPr>
        <w:pStyle w:val="Compact"/>
      </w:pPr>
      <w:r>
        <w:t xml:space="preserve">Configure, test, and commission the core and distribution layer switching equipment, including 48-port PoE switches, a 10G core switch, and redundant router pairs.</w:t>
      </w:r>
    </w:p>
    <w:p>
      <w:pPr>
        <w:numPr>
          <w:ilvl w:val="0"/>
          <w:numId w:val="1001"/>
        </w:numPr>
        <w:pStyle w:val="Compact"/>
      </w:pPr>
      <w:r>
        <w:t xml:space="preserve">Perform comprehensive network testing using certified OTDR, cable analyzers, and spectrum analyzers, and submit a full test report with attenuation, insertion loss, and return loss measurements.</w:t>
      </w:r>
    </w:p>
    <w:p>
      <w:pPr>
        <w:numPr>
          <w:ilvl w:val="0"/>
          <w:numId w:val="1001"/>
        </w:numPr>
        <w:pStyle w:val="Compact"/>
      </w:pPr>
      <w:r>
        <w:t xml:space="preserve">Provide a 90-day post-commissioning warranty period during which the</w:t>
      </w:r>
      <w:r>
        <w:t xml:space="preserve"> </w:t>
      </w:r>
      <w:r>
        <w:t xml:space="preserve">Telecommunication Engineer</w:t>
      </w:r>
      <w:r>
        <w:t xml:space="preserve"> </w:t>
      </w:r>
      <w:r>
        <w:t xml:space="preserve">shall remain available for corrective maintenance, troubleshooting, and performance optimization at the Kuwait City site.</w:t>
      </w:r>
    </w:p>
    <w:p>
      <w:pPr>
        <w:numPr>
          <w:ilvl w:val="0"/>
          <w:numId w:val="1001"/>
        </w:numPr>
        <w:pStyle w:val="Compact"/>
      </w:pPr>
      <w:r>
        <w:t xml:space="preserve">Deliver a complete as-built documentation package, including CAD drawings, equipment data sheets, and a 12-month preventive maintenance schedule.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(KWD)</w:t>
            </w:r>
          </w:p>
        </w:tc>
        <w:tc>
          <w:tcPr/>
          <w:p>
            <w:pPr>
              <w:pStyle w:val="Compact"/>
              <w:jc w:val="left"/>
            </w:pPr>
            <w:r>
              <w:t xml:space="preserve">Total (KWD)</w:t>
            </w:r>
          </w:p>
        </w:tc>
      </w:tr>
      <w:tr>
        <w:tc>
          <w:tcPr/>
          <w:p>
            <w:pPr>
              <w:pStyle w:val="Compact"/>
              <w:jc w:val="left"/>
            </w:pPr>
            <w:r>
              <w:t xml:space="preserve">01</w:t>
            </w:r>
          </w:p>
        </w:tc>
        <w:tc>
          <w:tcPr/>
          <w:p>
            <w:pPr>
              <w:pStyle w:val="Compact"/>
              <w:jc w:val="left"/>
            </w:pPr>
            <w:r>
              <w:t xml:space="preserve">Site survey, audit, and feasibility assessment by senior</w:t>
            </w:r>
            <w:r>
              <w:t xml:space="preserve"> </w:t>
            </w:r>
            <w:r>
              <w:t xml:space="preserve">Telecommunication Engineer</w:t>
            </w:r>
          </w:p>
        </w:tc>
        <w:tc>
          <w:tcPr/>
          <w:p>
            <w:pPr>
              <w:pStyle w:val="Compact"/>
              <w:jc w:val="left"/>
            </w:pPr>
            <w:r>
              <w:t xml:space="preserve">5 working 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02</w:t>
            </w:r>
          </w:p>
        </w:tc>
        <w:tc>
          <w:tcPr/>
          <w:p>
            <w:pPr>
              <w:pStyle w:val="Compact"/>
              <w:jc w:val="left"/>
            </w:pPr>
            <w:r>
              <w:t xml:space="preserve">Engineering design, documentation, and regulatory compliance review</w:t>
            </w:r>
          </w:p>
        </w:tc>
        <w:tc>
          <w:tcPr/>
          <w:p>
            <w:pPr>
              <w:pStyle w:val="Compact"/>
              <w:jc w:val="left"/>
            </w:pPr>
            <w:r>
              <w:t xml:space="preserve">10 working days</w:t>
            </w:r>
          </w:p>
        </w:tc>
        <w:tc>
          <w:tcPr/>
          <w:p>
            <w:pPr>
              <w:pStyle w:val="Compact"/>
              <w:jc w:val="left"/>
            </w:pPr>
            <w:r>
              <w:t xml:space="preserve">210.000</w:t>
            </w:r>
          </w:p>
        </w:tc>
        <w:tc>
          <w:tcPr/>
          <w:p>
            <w:pPr>
              <w:pStyle w:val="Compact"/>
              <w:jc w:val="left"/>
            </w:pPr>
            <w:r>
              <w:t xml:space="preserve">2,100.000</w:t>
            </w:r>
          </w:p>
        </w:tc>
      </w:tr>
      <w:tr>
        <w:tc>
          <w:tcPr/>
          <w:p>
            <w:pPr>
              <w:pStyle w:val="Compact"/>
              <w:jc w:val="left"/>
            </w:pPr>
            <w:r>
              <w:t xml:space="preserve">03</w:t>
            </w:r>
          </w:p>
        </w:tc>
        <w:tc>
          <w:tcPr/>
          <w:p>
            <w:pPr>
              <w:pStyle w:val="Compact"/>
              <w:jc w:val="left"/>
            </w:pPr>
            <w:r>
              <w:t xml:space="preserve">Supervision of structured cabling and fiber optic installation (12,000 lm + 400 drops)</w:t>
            </w:r>
          </w:p>
        </w:tc>
        <w:tc>
          <w:tcPr/>
          <w:p>
            <w:pPr>
              <w:pStyle w:val="Compact"/>
              <w:jc w:val="left"/>
            </w:pPr>
            <w:r>
              <w:t xml:space="preserve">25 working days</w:t>
            </w:r>
          </w:p>
        </w:tc>
        <w:tc>
          <w:tcPr/>
          <w:p>
            <w:pPr>
              <w:pStyle w:val="Compact"/>
              <w:jc w:val="left"/>
            </w:pPr>
            <w:r>
              <w:t xml:space="preserve">245.000</w:t>
            </w:r>
          </w:p>
        </w:tc>
        <w:tc>
          <w:tcPr/>
          <w:p>
            <w:pPr>
              <w:pStyle w:val="Compact"/>
              <w:jc w:val="left"/>
            </w:pPr>
            <w:r>
              <w:t xml:space="preserve">6,125.000</w:t>
            </w:r>
          </w:p>
        </w:tc>
      </w:tr>
      <w:tr>
        <w:tc>
          <w:tcPr/>
          <w:p>
            <w:pPr>
              <w:pStyle w:val="Compact"/>
              <w:jc w:val="left"/>
            </w:pPr>
            <w:r>
              <w:t xml:space="preserve">04</w:t>
            </w:r>
          </w:p>
        </w:tc>
        <w:tc>
          <w:tcPr/>
          <w:p>
            <w:pPr>
              <w:pStyle w:val="Compact"/>
              <w:jc w:val="left"/>
            </w:pPr>
            <w:r>
              <w:t xml:space="preserve">Configuration, testing, and commissioning of active network equipment (85 APs, switches, routers)</w:t>
            </w:r>
          </w:p>
        </w:tc>
        <w:tc>
          <w:tcPr/>
          <w:p>
            <w:pPr>
              <w:pStyle w:val="Compact"/>
              <w:jc w:val="left"/>
            </w:pPr>
            <w:r>
              <w:t xml:space="preserve">15 working days</w:t>
            </w:r>
          </w:p>
        </w:tc>
        <w:tc>
          <w:tcPr/>
          <w:p>
            <w:pPr>
              <w:pStyle w:val="Compact"/>
              <w:jc w:val="left"/>
            </w:pPr>
            <w:r>
              <w:t xml:space="preserve">260.000</w:t>
            </w:r>
          </w:p>
        </w:tc>
        <w:tc>
          <w:tcPr/>
          <w:p>
            <w:pPr>
              <w:pStyle w:val="Compact"/>
              <w:jc w:val="left"/>
            </w:pPr>
            <w:r>
              <w:t xml:space="preserve">3,900.000</w:t>
            </w:r>
          </w:p>
        </w:tc>
      </w:tr>
      <w:tr>
        <w:tc>
          <w:tcPr/>
          <w:p>
            <w:pPr>
              <w:pStyle w:val="Compact"/>
              <w:jc w:val="left"/>
            </w:pPr>
            <w:r>
              <w:t xml:space="preserve">05</w:t>
            </w:r>
          </w:p>
        </w:tc>
        <w:tc>
          <w:tcPr/>
          <w:p>
            <w:pPr>
              <w:pStyle w:val="Compact"/>
              <w:jc w:val="left"/>
            </w:pPr>
            <w:r>
              <w:t xml:space="preserve">Comprehensive network testing, OTDR certification, and final test reporting</w:t>
            </w:r>
          </w:p>
        </w:tc>
        <w:tc>
          <w:tcPr/>
          <w:p>
            <w:pPr>
              <w:pStyle w:val="Compact"/>
              <w:jc w:val="left"/>
            </w:pPr>
            <w:r>
              <w:t xml:space="preserve">5 working days</w:t>
            </w:r>
          </w:p>
        </w:tc>
        <w:tc>
          <w:tcPr/>
          <w:p>
            <w:pPr>
              <w:pStyle w:val="Compact"/>
              <w:jc w:val="left"/>
            </w:pPr>
            <w:r>
              <w:t xml:space="preserve">195.000</w:t>
            </w:r>
          </w:p>
        </w:tc>
        <w:tc>
          <w:tcPr/>
          <w:p>
            <w:pPr>
              <w:pStyle w:val="Compact"/>
              <w:jc w:val="left"/>
            </w:pPr>
            <w:r>
              <w:t xml:space="preserve">975.000</w:t>
            </w:r>
          </w:p>
        </w:tc>
      </w:tr>
      <w:tr>
        <w:tc>
          <w:tcPr/>
          <w:p>
            <w:pPr>
              <w:pStyle w:val="Compact"/>
              <w:jc w:val="left"/>
            </w:pPr>
            <w:r>
              <w:t xml:space="preserve">06</w:t>
            </w:r>
          </w:p>
        </w:tc>
        <w:tc>
          <w:tcPr/>
          <w:p>
            <w:pPr>
              <w:pStyle w:val="Compact"/>
              <w:jc w:val="left"/>
            </w:pPr>
            <w:r>
              <w:t xml:space="preserve">Post-commissioning warranty support and corrective maintenance at Kuwait City site</w:t>
            </w:r>
          </w:p>
        </w:tc>
        <w:tc>
          <w:tcPr/>
          <w:p>
            <w:pPr>
              <w:pStyle w:val="Compact"/>
              <w:jc w:val="left"/>
            </w:pPr>
            <w:r>
              <w:t xml:space="preserve">90 days</w:t>
            </w:r>
          </w:p>
        </w:tc>
        <w:tc>
          <w:tcPr/>
          <w:p>
            <w:pPr>
              <w:pStyle w:val="Compact"/>
              <w:jc w:val="left"/>
            </w:pPr>
            <w:r>
              <w:t xml:space="preserve">150.000</w:t>
            </w:r>
          </w:p>
        </w:tc>
        <w:tc>
          <w:tcPr/>
          <w:p>
            <w:pPr>
              <w:pStyle w:val="Compact"/>
              <w:jc w:val="left"/>
            </w:pPr>
            <w:r>
              <w:t xml:space="preserve">1,350.000</w:t>
            </w:r>
          </w:p>
        </w:tc>
      </w:tr>
      <w:tr>
        <w:tc>
          <w:tcPr/>
          <w:p>
            <w:pPr>
              <w:pStyle w:val="Compact"/>
              <w:jc w:val="left"/>
            </w:pPr>
            <w:r>
              <w:t xml:space="preserve">07</w:t>
            </w:r>
          </w:p>
        </w:tc>
        <w:tc>
          <w:tcPr/>
          <w:p>
            <w:pPr>
              <w:pStyle w:val="Compact"/>
              <w:jc w:val="left"/>
            </w:pPr>
            <w:r>
              <w:t xml:space="preserve">As-built documentation, CAD deliverables, and 12-month PM schedule</w:t>
            </w:r>
          </w:p>
        </w:tc>
        <w:tc>
          <w:tcPr/>
          <w:p>
            <w:pPr>
              <w:pStyle w:val="Compact"/>
              <w:jc w:val="left"/>
            </w:pPr>
            <w:r>
              <w:t xml:space="preserve">5 working days</w:t>
            </w:r>
          </w:p>
        </w:tc>
        <w:tc>
          <w:tcPr/>
          <w:p>
            <w:pPr>
              <w:pStyle w:val="Compact"/>
              <w:jc w:val="left"/>
            </w:pPr>
            <w:r>
              <w:t xml:space="preserve">175.000</w:t>
            </w:r>
          </w:p>
        </w:tc>
        <w:tc>
          <w:tcPr/>
          <w:p>
            <w:pPr>
              <w:pStyle w:val="Compact"/>
              <w:jc w:val="left"/>
            </w:pPr>
            <w:r>
              <w:t xml:space="preserve">875.000</w:t>
            </w:r>
          </w:p>
        </w:tc>
      </w:tr>
      <w:tr>
        <w:tc>
          <w:tcPr>
            <w:gridSpan w:val="4"/>
          </w:tcPr>
          <w:p>
            <w:pPr>
              <w:pStyle w:val="Compact"/>
              <w:jc w:val="left"/>
            </w:pPr>
            <w:r>
              <w:t xml:space="preserve">Subtotal</w:t>
            </w:r>
          </w:p>
        </w:tc>
        <w:tc>
          <w:tcPr/>
          <w:p>
            <w:pPr>
              <w:pStyle w:val="Compact"/>
              <w:jc w:val="left"/>
            </w:pPr>
            <w:r>
              <w:t xml:space="preserve">16,250.000</w:t>
            </w:r>
          </w:p>
        </w:tc>
      </w:tr>
      <w:tr>
        <w:tc>
          <w:tcPr>
            <w:gridSpan w:val="4"/>
          </w:tcPr>
          <w:p>
            <w:pPr>
              <w:pStyle w:val="Compact"/>
              <w:jc w:val="left"/>
            </w:pPr>
            <w:r>
              <w:t xml:space="preserve">VAT (15%)</w:t>
            </w:r>
          </w:p>
        </w:tc>
        <w:tc>
          <w:tcPr/>
          <w:p>
            <w:pPr>
              <w:pStyle w:val="Compact"/>
              <w:jc w:val="left"/>
            </w:pPr>
            <w:r>
              <w:t xml:space="preserve">2,437.500</w:t>
            </w:r>
          </w:p>
        </w:tc>
      </w:tr>
      <w:tr>
        <w:tc>
          <w:tcPr>
            <w:gridSpan w:val="4"/>
          </w:tcPr>
          <w:p>
            <w:pPr>
              <w:pStyle w:val="Compact"/>
              <w:jc w:val="left"/>
            </w:pPr>
            <w:r>
              <w:rPr>
                <w:bCs/>
                <w:b/>
              </w:rPr>
              <w:t xml:space="preserve">Grand Total (KWD)</w:t>
            </w:r>
          </w:p>
        </w:tc>
        <w:tc>
          <w:tcPr/>
          <w:p>
            <w:pPr>
              <w:pStyle w:val="Compact"/>
              <w:jc w:val="left"/>
            </w:pPr>
            <w:r>
              <w:rPr>
                <w:bCs/>
                <w:b/>
              </w:rPr>
              <w:t xml:space="preserve">18,687.500</w:t>
            </w:r>
          </w:p>
        </w:tc>
      </w:tr>
    </w:tbl>
    <w:bookmarkEnd w:id="23"/>
    <w:bookmarkStart w:id="24"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shall be subject to re-evaluation of rates and availability of the</w:t>
      </w:r>
      <w:r>
        <w:t xml:space="preserve"> </w:t>
      </w:r>
      <w:r>
        <w:t xml:space="preserve">Telecommunication Engineer</w:t>
      </w:r>
      <w:r>
        <w:t xml:space="preserve">.</w:t>
      </w:r>
    </w:p>
    <w:p>
      <w:pPr>
        <w:numPr>
          <w:ilvl w:val="0"/>
          <w:numId w:val="1002"/>
        </w:numPr>
        <w:pStyle w:val="Compact"/>
      </w:pPr>
      <w:r>
        <w:t xml:space="preserve">Payment terms: 30% advance upon contract signing, 40% upon completion of installation and commissioning, and 30% upon final acceptance and handover of as-built documentation at the Kuwait City site.</w:t>
      </w:r>
    </w:p>
    <w:p>
      <w:pPr>
        <w:numPr>
          <w:ilvl w:val="0"/>
          <w:numId w:val="1002"/>
        </w:numPr>
        <w:pStyle w:val="Compact"/>
      </w:pPr>
      <w:r>
        <w:t xml:space="preserve">All payments shall be made in Kuwaiti Dinars (KWD) via bank transfer to the account of Al-Nakheel Telecommunications Solutions W.L.L. at National Bank of Kuwait, Kuwait City branch.</w:t>
      </w:r>
    </w:p>
    <w:p>
      <w:pPr>
        <w:numPr>
          <w:ilvl w:val="0"/>
          <w:numId w:val="1002"/>
        </w:numPr>
        <w:pStyle w:val="Compact"/>
      </w:pPr>
      <w:r>
        <w:t xml:space="preserve">The</w:t>
      </w:r>
      <w:r>
        <w:t xml:space="preserve"> </w:t>
      </w:r>
      <w:r>
        <w:t xml:space="preserve">Telecommunication Engineer</w:t>
      </w:r>
      <w:r>
        <w:t xml:space="preserve"> </w:t>
      </w:r>
      <w:r>
        <w:t xml:space="preserve">assigned to this project shall hold a minimum of ten (10) years of relevant experience, a valid Kuwaiti professional license, and certifications including CCNA, CCNP, and BICSI Registered Communications Distribution Designer (RCDD).</w:t>
      </w:r>
    </w:p>
    <w:p>
      <w:pPr>
        <w:numPr>
          <w:ilvl w:val="0"/>
          <w:numId w:val="1002"/>
        </w:numPr>
        <w:pStyle w:val="Compact"/>
      </w:pPr>
      <w:r>
        <w:t xml:space="preserve">The client shall provide safe access to all floors, mechanical rooms, and cable shafts at the Kuwait City premises, along with necessary permits for after-hours work if required.</w:t>
      </w:r>
    </w:p>
    <w:p>
      <w:pPr>
        <w:numPr>
          <w:ilvl w:val="0"/>
          <w:numId w:val="1002"/>
        </w:numPr>
        <w:pStyle w:val="Compact"/>
      </w:pPr>
      <w:r>
        <w:t xml:space="preserve">Any scope changes or additional work beyond the items listed in this</w:t>
      </w:r>
      <w:r>
        <w:t xml:space="preserve"> </w:t>
      </w:r>
      <w:r>
        <w:t xml:space="preserve">Quotation Estimate</w:t>
      </w:r>
      <w:r>
        <w:t xml:space="preserve"> </w:t>
      </w:r>
      <w:r>
        <w:t xml:space="preserve">shall be subject to a separate written amendment and additional cost approval prior to commencement.</w:t>
      </w:r>
    </w:p>
    <w:p>
      <w:pPr>
        <w:numPr>
          <w:ilvl w:val="0"/>
          <w:numId w:val="1002"/>
        </w:numPr>
        <w:pStyle w:val="Compact"/>
      </w:pPr>
      <w:r>
        <w:t xml:space="preserve">This project is governed by the laws of the State of Kuwait. Any disputes shall be resolved through the competent courts in Kuwait City.</w:t>
      </w:r>
    </w:p>
    <w:p>
      <w:pPr>
        <w:numPr>
          <w:ilvl w:val="0"/>
          <w:numId w:val="1002"/>
        </w:numPr>
        <w:pStyle w:val="Compact"/>
      </w:pPr>
      <w:r>
        <w:t xml:space="preserve">The</w:t>
      </w:r>
      <w:r>
        <w:t xml:space="preserve"> </w:t>
      </w:r>
      <w:r>
        <w:t xml:space="preserve">Telecommunication Engineer</w:t>
      </w:r>
      <w:r>
        <w:t xml:space="preserve"> </w:t>
      </w:r>
      <w:r>
        <w:t xml:space="preserve">shall comply with all occupational health and safety regulations as enforced by the Kuwaiti Ministry of Social Affairs and Labor.</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the terms, scope, and pricing outlined in this</w:t>
      </w:r>
      <w:r>
        <w:t xml:space="preserve"> </w:t>
      </w:r>
      <w:r>
        <w:t xml:space="preserve">Quotation Estimate</w:t>
      </w:r>
      <w:r>
        <w:t xml:space="preserve"> </w:t>
      </w:r>
      <w:r>
        <w:t xml:space="preserve">for the engagement of a</w:t>
      </w:r>
      <w:r>
        <w:t xml:space="preserve"> </w:t>
      </w:r>
      <w:r>
        <w:t xml:space="preserve">Telecommunication Engineer</w:t>
      </w:r>
      <w:r>
        <w:t xml:space="preserve"> </w:t>
      </w:r>
      <w:r>
        <w:t xml:space="preserve">at the specified location in</w:t>
      </w:r>
      <w:r>
        <w:t xml:space="preserve"> </w:t>
      </w:r>
      <w:r>
        <w:t xml:space="preserve">Kuwait, Kuwait City</w:t>
      </w:r>
      <w:r>
        <w:t xml:space="preserve">. This document, once countersigned by both parties, shall constitute a binding service agreement.</w:t>
      </w:r>
    </w:p>
    <w:p>
      <w:pPr>
        <w:pStyle w:val="BodyText"/>
      </w:pPr>
      <w:r>
        <w:rPr>
          <w:bCs/>
          <w:b/>
        </w:rPr>
        <w:t xml:space="preserve">For Al-Nakheel Telecommunications Solutions W.L.L.</w:t>
      </w:r>
    </w:p>
    <w:p>
      <w:pPr>
        <w:pStyle w:val="BodyText"/>
      </w:pPr>
      <w:r>
        <w:t xml:space="preserve">Name: Eng. Salem Al-Rashidi</w:t>
      </w:r>
      <w:r>
        <w:br/>
      </w:r>
      <w:r>
        <w:t xml:space="preserve">Title: Chief Telecommunication Engineer</w:t>
      </w:r>
      <w:r>
        <w:br/>
      </w:r>
      <w:r>
        <w:t xml:space="preserve">Signature &amp; Company Stamp</w:t>
      </w:r>
      <w:r>
        <w:br/>
      </w:r>
      <w:r>
        <w:t xml:space="preserve">Date: _______________</w:t>
      </w:r>
    </w:p>
    <w:p>
      <w:pPr>
        <w:pStyle w:val="BodyText"/>
      </w:pPr>
      <w:r>
        <w:rPr>
          <w:bCs/>
          <w:b/>
        </w:rPr>
        <w:t xml:space="preserve">For the Client (MCIT)</w:t>
      </w:r>
    </w:p>
    <w:p>
      <w:pPr>
        <w:pStyle w:val="BodyText"/>
      </w:pPr>
      <w:r>
        <w:t xml:space="preserve">Name: Eng. Khalid Al-Mubarak</w:t>
      </w:r>
      <w:r>
        <w:br/>
      </w:r>
      <w:r>
        <w:t xml:space="preserve">Title: Director, Infrastructure Division</w:t>
      </w:r>
      <w:r>
        <w:br/>
      </w:r>
      <w:r>
        <w:t xml:space="preserve">Signature &amp; Company Stamp</w:t>
      </w:r>
      <w:r>
        <w:br/>
      </w:r>
      <w:r>
        <w:t xml:space="preserve">Date: _______________</w:t>
      </w:r>
    </w:p>
    <w:p>
      <w:pPr>
        <w:pStyle w:val="BodyText"/>
      </w:pPr>
      <w:r>
        <w:rPr>
          <w:bCs/>
          <w:b/>
        </w:rPr>
        <w:t xml:space="preserve">Note:</w:t>
      </w:r>
      <w:r>
        <w:t xml:space="preserve"> </w:t>
      </w:r>
      <w:r>
        <w:t xml:space="preserve">This Quotation Estimate is prepared exclusively for the client named above and is non-transferable. All rates are quoted in Kuwaiti Dinars (KWD) and include the professional fees of the Telecommunication Engineer, travel within Kuwait City, and standard engineering tools. Specialized test equipment rental, if exceeding standard scope, shall be billed separately. For queries regarding this estimate, please contact our Kuwait City office at +965 2244 8899 or estimates@alnakheel-telecom.kw.</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Telecommunication Engineer - Kuwait Kuwait City</dc:title>
  <dc:creator/>
  <dc:language>en</dc:language>
  <cp:keywords/>
  <dcterms:created xsi:type="dcterms:W3CDTF">2026-10-10T01:16:55Z</dcterms:created>
  <dcterms:modified xsi:type="dcterms:W3CDTF">2026-10-10T01:16:55Z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