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Myanmar Yangon | Republic of the Union of Myanmar</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QTE-MYR-YGN-2025-0047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Prepared By:</w:t>
            </w:r>
          </w:p>
        </w:tc>
        <w:tc>
          <w:tcPr/>
          <w:p>
            <w:pPr>
              <w:pStyle w:val="Compact"/>
              <w:jc w:val="left"/>
            </w:pPr>
            <w:r>
              <w:t xml:space="preserve">Eng. Thura Aung Kyaw Min, P.Eng.</w:t>
            </w:r>
          </w:p>
        </w:tc>
        <w:tc>
          <w:tcPr/>
          <w:p>
            <w:pPr>
              <w:pStyle w:val="Compact"/>
              <w:jc w:val="left"/>
            </w:pPr>
            <w:r>
              <w:t xml:space="preserve">Position:</w:t>
            </w:r>
          </w:p>
        </w:tc>
        <w:tc>
          <w:tcPr/>
          <w:p>
            <w:pPr>
              <w:pStyle w:val="Compact"/>
              <w:jc w:val="left"/>
            </w:pPr>
            <w:r>
              <w:t xml:space="preserve">Senior Telecommunication Engineer</w:t>
            </w:r>
          </w:p>
        </w:tc>
      </w:tr>
      <w:tr>
        <w:tc>
          <w:tcPr/>
          <w:p>
            <w:pPr>
              <w:pStyle w:val="Compact"/>
              <w:jc w:val="left"/>
            </w:pPr>
            <w:r>
              <w:t xml:space="preserve">Client Name:</w:t>
            </w:r>
          </w:p>
        </w:tc>
        <w:tc>
          <w:tcPr>
            <w:gridSpan w:val="3"/>
          </w:tcPr>
          <w:p>
            <w:pPr>
              <w:pStyle w:val="Compact"/>
              <w:jc w:val="left"/>
            </w:pPr>
            <w:r>
              <w:t xml:space="preserve">[Client Organization Name], Yangon, Myanmar</w:t>
            </w:r>
          </w:p>
        </w:tc>
      </w:tr>
      <w:tr>
        <w:tc>
          <w:tcPr/>
          <w:p>
            <w:pPr>
              <w:pStyle w:val="Compact"/>
              <w:jc w:val="left"/>
            </w:pPr>
            <w:r>
              <w:t xml:space="preserve">Project Location:</w:t>
            </w:r>
          </w:p>
        </w:tc>
        <w:tc>
          <w:tcPr>
            <w:gridSpan w:val="3"/>
          </w:tcPr>
          <w:p>
            <w:pPr>
              <w:pStyle w:val="Compact"/>
              <w:jc w:val="left"/>
            </w:pPr>
            <w:r>
              <w:t xml:space="preserve">Yangon City, Myanmar – Telecommunication Infrastructure Zone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to provide a comprehensive and transparent breakdown of costs associated with the engagement of a qualified</w:t>
      </w:r>
      <w:r>
        <w:t xml:space="preserve"> </w:t>
      </w:r>
      <w:r>
        <w:t xml:space="preserve">Telecommunication Engineer</w:t>
      </w:r>
      <w:r>
        <w:t xml:space="preserve"> </w:t>
      </w:r>
      <w:r>
        <w:t xml:space="preserve">for the design, deployment, testing, and commissioning of telecommunication infrastructure within the</w:t>
      </w:r>
      <w:r>
        <w:t xml:space="preserve"> </w:t>
      </w:r>
      <w:r>
        <w:t xml:space="preserve">Myanmar Yangon</w:t>
      </w:r>
      <w:r>
        <w:t xml:space="preserve"> </w:t>
      </w:r>
      <w:r>
        <w:t xml:space="preserve">metropolitan area. This estimate covers all professional services, technical consultations, on-site assessments, and project management deliverables required to ensure full compliance with Myanmar Telecommunications Regulatory Body (MTRB) standards and international engineering best practices.</w:t>
      </w:r>
    </w:p>
    <w:bookmarkEnd w:id="21"/>
    <w:bookmarkStart w:id="22" w:name="X50155b1601868dafe6c263da314439c8d4b6b92"/>
    <w:p>
      <w:pPr>
        <w:pStyle w:val="Heading2"/>
      </w:pPr>
      <w:r>
        <w:t xml:space="preserve">2. Scope of Services – Telecommunication Engineer</w:t>
      </w:r>
    </w:p>
    <w:p>
      <w:pPr>
        <w:pStyle w:val="FirstParagraph"/>
      </w:pPr>
      <w:r>
        <w:t xml:space="preserve">The</w:t>
      </w:r>
      <w:r>
        <w:t xml:space="preserve"> </w:t>
      </w:r>
      <w:r>
        <w:t xml:space="preserve">Telecommunication Engineer</w:t>
      </w:r>
      <w:r>
        <w:t xml:space="preserve"> </w:t>
      </w:r>
      <w:r>
        <w:t xml:space="preserve">engaged under this</w:t>
      </w:r>
      <w:r>
        <w:t xml:space="preserve"> </w:t>
      </w:r>
      <w:r>
        <w:t xml:space="preserve">Quotation Estimate</w:t>
      </w:r>
      <w:r>
        <w:t xml:space="preserve"> </w:t>
      </w:r>
      <w:r>
        <w:t xml:space="preserve">shall perform the following duties and deliverables specifically tailored to the operational requirements of the</w:t>
      </w:r>
      <w:r>
        <w:t xml:space="preserve"> </w:t>
      </w:r>
      <w:r>
        <w:t xml:space="preserve">Myanmar Yangon</w:t>
      </w:r>
      <w:r>
        <w:t xml:space="preserve"> </w:t>
      </w:r>
      <w:r>
        <w:t xml:space="preserve">project site:</w:t>
      </w:r>
    </w:p>
    <w:p>
      <w:pPr>
        <w:numPr>
          <w:ilvl w:val="0"/>
          <w:numId w:val="1001"/>
        </w:numPr>
        <w:pStyle w:val="Compact"/>
      </w:pPr>
      <w:r>
        <w:rPr>
          <w:bCs/>
          <w:b/>
        </w:rPr>
        <w:t xml:space="preserve">Site Survey and Feasibility Analysis:</w:t>
      </w:r>
      <w:r>
        <w:t xml:space="preserve"> </w:t>
      </w:r>
      <w:r>
        <w:t xml:space="preserve">Conduct a comprehensive on-site survey across the designated Yangon district to evaluate existing telecommunication infrastructure, signal propagation conditions, terrain obstacles, and available right-of-way for fiber optic and wireless link installations.</w:t>
      </w:r>
    </w:p>
    <w:p>
      <w:pPr>
        <w:numPr>
          <w:ilvl w:val="0"/>
          <w:numId w:val="1001"/>
        </w:numPr>
        <w:pStyle w:val="Compact"/>
      </w:pPr>
      <w:r>
        <w:rPr>
          <w:bCs/>
          <w:b/>
        </w:rPr>
        <w:t xml:space="preserve">Network Design and Architecture:</w:t>
      </w:r>
      <w:r>
        <w:t xml:space="preserve"> </w:t>
      </w:r>
      <w:r>
        <w:t xml:space="preserve">Develop detailed engineering drawings, network topology diagrams, and system architecture plans for the proposed telecommunication network, including base station placement, fiber backbone routing, and core switching configurations.</w:t>
      </w:r>
    </w:p>
    <w:p>
      <w:pPr>
        <w:numPr>
          <w:ilvl w:val="0"/>
          <w:numId w:val="1001"/>
        </w:numPr>
        <w:pStyle w:val="Compact"/>
      </w:pPr>
      <w:r>
        <w:rPr>
          <w:bCs/>
          <w:b/>
        </w:rPr>
        <w:t xml:space="preserve">Equipment Specification and Procurement Advisory:</w:t>
      </w:r>
      <w:r>
        <w:t xml:space="preserve"> </w:t>
      </w:r>
      <w:r>
        <w:t xml:space="preserve">Prepare detailed Bill of Materials (BOM) for all telecommunication hardware including antennas, transceivers, routers, switches, power systems, and cabling, ensuring compatibility with Myanmar Yangon's local power grid specifications (230V/50Hz).</w:t>
      </w:r>
    </w:p>
    <w:p>
      <w:pPr>
        <w:numPr>
          <w:ilvl w:val="0"/>
          <w:numId w:val="1001"/>
        </w:numPr>
        <w:pStyle w:val="Compact"/>
      </w:pPr>
      <w:r>
        <w:rPr>
          <w:bCs/>
          <w:b/>
        </w:rPr>
        <w:t xml:space="preserve">Regulatory Compliance and Licensing Support:</w:t>
      </w:r>
      <w:r>
        <w:t xml:space="preserve"> </w:t>
      </w:r>
      <w:r>
        <w:t xml:space="preserve">Assist the client in obtaining all necessary permits, frequency allocation approvals, and construction clearances from the Myanmar Telecommunications Regulatory Body and Yangon City Development Committee.</w:t>
      </w:r>
    </w:p>
    <w:p>
      <w:pPr>
        <w:numPr>
          <w:ilvl w:val="0"/>
          <w:numId w:val="1001"/>
        </w:numPr>
        <w:pStyle w:val="Compact"/>
      </w:pPr>
      <w:r>
        <w:rPr>
          <w:bCs/>
          <w:b/>
        </w:rPr>
        <w:t xml:space="preserve">Installation Supervision and Quality Assurance:</w:t>
      </w:r>
      <w:r>
        <w:t xml:space="preserve"> </w:t>
      </w:r>
      <w:r>
        <w:t xml:space="preserve">Provide full-time on-site supervision during the physical installation phase, ensuring all workmanship meets the specifications outlined in this</w:t>
      </w:r>
      <w:r>
        <w:t xml:space="preserve"> </w:t>
      </w:r>
      <w:r>
        <w:t xml:space="preserve">Quotation Estimate</w:t>
      </w:r>
      <w:r>
        <w:t xml:space="preserve"> </w:t>
      </w:r>
      <w:r>
        <w:t xml:space="preserve">and adheres to ITU-T and 3GPP standards.</w:t>
      </w:r>
    </w:p>
    <w:p>
      <w:pPr>
        <w:numPr>
          <w:ilvl w:val="0"/>
          <w:numId w:val="1001"/>
        </w:numPr>
        <w:pStyle w:val="Compact"/>
      </w:pPr>
      <w:r>
        <w:rPr>
          <w:bCs/>
          <w:b/>
        </w:rPr>
        <w:t xml:space="preserve">Testing, Commissioning, and Handover:</w:t>
      </w:r>
      <w:r>
        <w:t xml:space="preserve"> </w:t>
      </w:r>
      <w:r>
        <w:t xml:space="preserve">Perform end-to-end network testing including throughput verification, latency measurement, signal-to-noise ratio analysis, and failover redundancy checks prior to formal commissioning and project handover.</w:t>
      </w:r>
    </w:p>
    <w:p>
      <w:pPr>
        <w:numPr>
          <w:ilvl w:val="0"/>
          <w:numId w:val="1001"/>
        </w:numPr>
        <w:pStyle w:val="Compact"/>
      </w:pPr>
      <w:r>
        <w:rPr>
          <w:bCs/>
          <w:b/>
        </w:rPr>
        <w:t xml:space="preserve">Training and Knowledge Transfer:</w:t>
      </w:r>
      <w:r>
        <w:t xml:space="preserve"> </w:t>
      </w:r>
      <w:r>
        <w:t xml:space="preserve">Deliver a minimum of five (5) days of hands-on training to the client's in-house technical team in Myanmar Yangon, covering network operations, troubleshooting procedures, and preventive maintenance schedules.</w:t>
      </w:r>
    </w:p>
    <w:p>
      <w:pPr>
        <w:numPr>
          <w:ilvl w:val="0"/>
          <w:numId w:val="1001"/>
        </w:numPr>
        <w:pStyle w:val="Compact"/>
      </w:pPr>
      <w:r>
        <w:rPr>
          <w:bCs/>
          <w:b/>
        </w:rPr>
        <w:t xml:space="preserve">Post-Commissioning Support:</w:t>
      </w:r>
      <w:r>
        <w:t xml:space="preserve"> </w:t>
      </w:r>
      <w:r>
        <w:t xml:space="preserve">Provide a ninety (90) day warranty and technical support period following the official commissioning date, with guaranteed response time of within four (4) hours for critical faults.</w:t>
      </w:r>
    </w:p>
    <w:bookmarkEnd w:id="22"/>
    <w:bookmarkStart w:id="23" w:name="cost-breakdown-quotation-estimate"/>
    <w:p>
      <w:pPr>
        <w:pStyle w:val="Heading2"/>
      </w:pPr>
      <w:r>
        <w:t xml:space="preserve">3.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Site Survey &amp; Feasibility Study in Myanmar Yangon</w:t>
            </w:r>
          </w:p>
        </w:tc>
        <w:tc>
          <w:tcPr/>
          <w:p>
            <w:pPr>
              <w:pStyle w:val="Compact"/>
              <w:jc w:val="left"/>
            </w:pPr>
            <w:r>
              <w:t xml:space="preserve">10 working days</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Network Design, Engineering Drawings &amp; Documentation</w:t>
            </w:r>
          </w:p>
        </w:tc>
        <w:tc>
          <w:tcPr/>
          <w:p>
            <w:pPr>
              <w:pStyle w:val="Compact"/>
              <w:jc w:val="left"/>
            </w:pPr>
            <w:r>
              <w:t xml:space="preserve">15 working days</w:t>
            </w:r>
          </w:p>
        </w:tc>
        <w:tc>
          <w:tcPr/>
          <w:p>
            <w:pPr>
              <w:pStyle w:val="Compact"/>
              <w:jc w:val="left"/>
            </w:pPr>
            <w:r>
              <w:t xml:space="preserve">$400.00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Equipment Specification &amp; Procurement Advisory</w:t>
            </w:r>
          </w:p>
        </w:tc>
        <w:tc>
          <w:tcPr/>
          <w:p>
            <w:pPr>
              <w:pStyle w:val="Compact"/>
              <w:jc w:val="left"/>
            </w:pPr>
            <w:r>
              <w:t xml:space="preserve">5 working days</w:t>
            </w:r>
          </w:p>
        </w:tc>
        <w:tc>
          <w:tcPr/>
          <w:p>
            <w:pPr>
              <w:pStyle w:val="Compact"/>
              <w:jc w:val="left"/>
            </w:pPr>
            <w:r>
              <w:t xml:space="preserve">$300.00</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Regulatory Compliance &amp; MTRB Licensing Support</w:t>
            </w:r>
          </w:p>
        </w:tc>
        <w:tc>
          <w:tcPr/>
          <w:p>
            <w:pPr>
              <w:pStyle w:val="Compact"/>
              <w:jc w:val="left"/>
            </w:pPr>
            <w:r>
              <w:t xml:space="preserve">10 working days</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On-Site Installation Supervision (Myanmar Yangon)</w:t>
            </w:r>
          </w:p>
        </w:tc>
        <w:tc>
          <w:tcPr/>
          <w:p>
            <w:pPr>
              <w:pStyle w:val="Compact"/>
              <w:jc w:val="left"/>
            </w:pPr>
            <w:r>
              <w:t xml:space="preserve">30 working days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06</w:t>
            </w:r>
          </w:p>
        </w:tc>
        <w:tc>
          <w:tcPr/>
          <w:p>
            <w:pPr>
              <w:pStyle w:val="Compact"/>
              <w:jc w:val="left"/>
            </w:pPr>
            <w:r>
              <w:t xml:space="preserve">Testing, Commissioning &amp; Performance Validation</w:t>
            </w:r>
          </w:p>
        </w:tc>
        <w:tc>
          <w:tcPr/>
          <w:p>
            <w:pPr>
              <w:pStyle w:val="Compact"/>
              <w:jc w:val="left"/>
            </w:pPr>
            <w:r>
              <w:t xml:space="preserve">7 working days</w:t>
            </w:r>
          </w:p>
        </w:tc>
        <w:tc>
          <w:tcPr/>
          <w:p>
            <w:pPr>
              <w:pStyle w:val="Compact"/>
              <w:jc w:val="left"/>
            </w:pPr>
            <w:r>
              <w:t xml:space="preserve">$400.00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Client Team Training &amp; Knowledge Transfer (5 days)</w:t>
            </w:r>
          </w:p>
        </w:tc>
        <w:tc>
          <w:tcPr/>
          <w:p>
            <w:pPr>
              <w:pStyle w:val="Compact"/>
              <w:jc w:val="left"/>
            </w:pPr>
            <w:r>
              <w:t xml:space="preserve">5 working days</w:t>
            </w:r>
          </w:p>
        </w:tc>
        <w:tc>
          <w:tcPr/>
          <w:p>
            <w:pPr>
              <w:pStyle w:val="Compact"/>
              <w:jc w:val="left"/>
            </w:pPr>
            <w:r>
              <w:t xml:space="preserve">$380.00</w:t>
            </w:r>
          </w:p>
        </w:tc>
        <w:tc>
          <w:tcPr/>
          <w:p>
            <w:pPr>
              <w:pStyle w:val="Compact"/>
              <w:jc w:val="left"/>
            </w:pPr>
            <w:r>
              <w:t xml:space="preserve">$1,900.00</w:t>
            </w:r>
          </w:p>
        </w:tc>
      </w:tr>
      <w:tr>
        <w:tc>
          <w:tcPr/>
          <w:p>
            <w:pPr>
              <w:pStyle w:val="Compact"/>
              <w:jc w:val="left"/>
            </w:pPr>
            <w:r>
              <w:t xml:space="preserve">08</w:t>
            </w:r>
          </w:p>
        </w:tc>
        <w:tc>
          <w:tcPr/>
          <w:p>
            <w:pPr>
              <w:pStyle w:val="Compact"/>
              <w:jc w:val="left"/>
            </w:pPr>
            <w:r>
              <w:t xml:space="preserve">Post-Commissioning Technical Support (90 days)</w:t>
            </w:r>
          </w:p>
        </w:tc>
        <w:tc>
          <w:tcPr/>
          <w:p>
            <w:pPr>
              <w:pStyle w:val="Compact"/>
              <w:jc w:val="left"/>
            </w:pPr>
            <w:r>
              <w:t xml:space="preserve">90 days</w:t>
            </w:r>
          </w:p>
        </w:tc>
        <w:tc>
          <w:tcPr/>
          <w:p>
            <w:pPr>
              <w:pStyle w:val="Compact"/>
              <w:jc w:val="left"/>
            </w:pPr>
            <w:r>
              <w:t xml:space="preserve">$150.00/day</w:t>
            </w:r>
          </w:p>
        </w:tc>
        <w:tc>
          <w:tcPr/>
          <w:p>
            <w:pPr>
              <w:pStyle w:val="Compact"/>
              <w:jc w:val="left"/>
            </w:pPr>
            <w:r>
              <w:t xml:space="preserve">$13,500.00</w:t>
            </w:r>
          </w:p>
        </w:tc>
      </w:tr>
      <w:tr>
        <w:tc>
          <w:tcPr/>
          <w:p>
            <w:pPr>
              <w:pStyle w:val="Compact"/>
              <w:jc w:val="left"/>
            </w:pPr>
            <w:r>
              <w:t xml:space="preserve">09</w:t>
            </w:r>
          </w:p>
        </w:tc>
        <w:tc>
          <w:tcPr/>
          <w:p>
            <w:pPr>
              <w:pStyle w:val="Compact"/>
              <w:jc w:val="left"/>
            </w:pPr>
            <w:r>
              <w:t xml:space="preserve">Travel, Accommodation &amp; Local Transport in Yangon</w:t>
            </w:r>
          </w:p>
        </w:tc>
        <w:tc>
          <w:tcPr/>
          <w:p>
            <w:pPr>
              <w:pStyle w:val="Compact"/>
              <w:jc w:val="left"/>
            </w:pPr>
            <w:r>
              <w:t xml:space="preserve">62 working days</w:t>
            </w:r>
          </w:p>
        </w:tc>
        <w:tc>
          <w:tcPr/>
          <w:p>
            <w:pPr>
              <w:pStyle w:val="Compact"/>
              <w:jc w:val="left"/>
            </w:pPr>
            <w:r>
              <w:t xml:space="preserve">$120.00/day</w:t>
            </w:r>
          </w:p>
        </w:tc>
        <w:tc>
          <w:tcPr/>
          <w:p>
            <w:pPr>
              <w:pStyle w:val="Compact"/>
              <w:jc w:val="left"/>
            </w:pPr>
            <w:r>
              <w:t xml:space="preserve">$7,440.00</w:t>
            </w:r>
          </w:p>
        </w:tc>
      </w:tr>
      <w:tr>
        <w:tc>
          <w:tcPr/>
          <w:p>
            <w:pPr>
              <w:pStyle w:val="Compact"/>
              <w:jc w:val="left"/>
            </w:pPr>
            <w:r>
              <w:t xml:space="preserve">10</w:t>
            </w:r>
          </w:p>
        </w:tc>
        <w:tc>
          <w:tcPr/>
          <w:p>
            <w:pPr>
              <w:pStyle w:val="Compact"/>
              <w:jc w:val="left"/>
            </w:pPr>
            <w:r>
              <w:t xml:space="preserve">Project Management, Reporting &amp; Coordination</w:t>
            </w:r>
          </w:p>
        </w:tc>
        <w:tc>
          <w:tcPr/>
          <w:p>
            <w:pPr>
              <w:pStyle w:val="Compact"/>
              <w:jc w:val="left"/>
            </w:pPr>
            <w:r>
              <w:t xml:space="preserve">62 working days</w:t>
            </w:r>
          </w:p>
        </w:tc>
        <w:tc>
          <w:tcPr/>
          <w:p>
            <w:pPr>
              <w:pStyle w:val="Compact"/>
              <w:jc w:val="left"/>
            </w:pPr>
            <w:r>
              <w:t xml:space="preserve">$100.00/day</w:t>
            </w:r>
          </w:p>
        </w:tc>
        <w:tc>
          <w:tcPr/>
          <w:p>
            <w:pPr>
              <w:pStyle w:val="Compact"/>
              <w:jc w:val="left"/>
            </w:pPr>
            <w:r>
              <w:t xml:space="preserve">$6,200.00</w:t>
            </w:r>
          </w:p>
        </w:tc>
      </w:tr>
      <w:tr>
        <w:tc>
          <w:tcPr>
            <w:gridSpan w:val="4"/>
          </w:tcPr>
          <w:p>
            <w:pPr>
              <w:pStyle w:val="Compact"/>
              <w:jc w:val="right"/>
            </w:pPr>
            <w:r>
              <w:t xml:space="preserve">Subtotal:</w:t>
            </w:r>
          </w:p>
        </w:tc>
        <w:tc>
          <w:tcPr/>
          <w:p>
            <w:pPr>
              <w:pStyle w:val="Compact"/>
              <w:jc w:val="left"/>
            </w:pPr>
            <w:r>
              <w:t xml:space="preserve">$60,540.00</w:t>
            </w:r>
          </w:p>
        </w:tc>
      </w:tr>
      <w:tr>
        <w:tc>
          <w:tcPr>
            <w:gridSpan w:val="4"/>
          </w:tcPr>
          <w:p>
            <w:pPr>
              <w:pStyle w:val="Compact"/>
              <w:jc w:val="right"/>
            </w:pPr>
            <w:r>
              <w:t xml:space="preserve">Applicable Taxes &amp; Levies (Myanmar):</w:t>
            </w:r>
          </w:p>
        </w:tc>
        <w:tc>
          <w:tcPr/>
          <w:p>
            <w:pPr>
              <w:pStyle w:val="Compact"/>
              <w:jc w:val="left"/>
            </w:pPr>
            <w:r>
              <w:t xml:space="preserve">$3,027.00</w:t>
            </w:r>
          </w:p>
        </w:tc>
      </w:tr>
      <w:tr>
        <w:tc>
          <w:tcPr>
            <w:gridSpan w:val="4"/>
          </w:tcPr>
          <w:p>
            <w:pPr>
              <w:pStyle w:val="Compact"/>
              <w:jc w:val="right"/>
            </w:pPr>
            <w:r>
              <w:rPr>
                <w:bCs/>
                <w:b/>
              </w:rPr>
              <w:t xml:space="preserve">TOTAL ESTIMATED COST:</w:t>
            </w:r>
          </w:p>
        </w:tc>
        <w:tc>
          <w:tcPr/>
          <w:p>
            <w:pPr>
              <w:pStyle w:val="Compact"/>
              <w:jc w:val="left"/>
            </w:pPr>
            <w:r>
              <w:rPr>
                <w:bCs/>
                <w:b/>
              </w:rPr>
              <w:t xml:space="preserve">$63,567.00</w:t>
            </w:r>
          </w:p>
        </w:tc>
      </w:tr>
    </w:tbl>
    <w:bookmarkEnd w:id="23"/>
    <w:bookmarkStart w:id="24" w:name="payment-schedule"/>
    <w:p>
      <w:pPr>
        <w:pStyle w:val="Heading2"/>
      </w:pPr>
      <w:r>
        <w:t xml:space="preserve">4. Payment Schedule</w:t>
      </w:r>
    </w:p>
    <w:p>
      <w:pPr>
        <w:numPr>
          <w:ilvl w:val="0"/>
          <w:numId w:val="1002"/>
        </w:numPr>
        <w:pStyle w:val="Compact"/>
      </w:pPr>
      <w:r>
        <w:rPr>
          <w:bCs/>
          <w:b/>
        </w:rPr>
        <w:t xml:space="preserve">Advance Payment (30%):</w:t>
      </w:r>
      <w:r>
        <w:t xml:space="preserve"> </w:t>
      </w:r>
      <w:r>
        <w:t xml:space="preserve">$19,070.10 – Due upon signed acceptance of this</w:t>
      </w:r>
      <w:r>
        <w:t xml:space="preserve"> </w:t>
      </w:r>
      <w:r>
        <w:t xml:space="preserve">Quotation Estimate</w:t>
      </w:r>
      <w:r>
        <w:t xml:space="preserve"> </w:t>
      </w:r>
      <w:r>
        <w:t xml:space="preserve">and execution of the Service Agreement.</w:t>
      </w:r>
    </w:p>
    <w:p>
      <w:pPr>
        <w:numPr>
          <w:ilvl w:val="0"/>
          <w:numId w:val="1002"/>
        </w:numPr>
        <w:pStyle w:val="Compact"/>
      </w:pPr>
      <w:r>
        <w:rPr>
          <w:bCs/>
          <w:b/>
        </w:rPr>
        <w:t xml:space="preserve">Milestone Payment 1 (25%):</w:t>
      </w:r>
      <w:r>
        <w:t xml:space="preserve"> </w:t>
      </w:r>
      <w:r>
        <w:t xml:space="preserve">$15,891.75 – Due upon completion of site survey, design deliverables, and regulatory approvals in Myanmar Yangon.</w:t>
      </w:r>
    </w:p>
    <w:p>
      <w:pPr>
        <w:numPr>
          <w:ilvl w:val="0"/>
          <w:numId w:val="1002"/>
        </w:numPr>
        <w:pStyle w:val="Compact"/>
      </w:pPr>
      <w:r>
        <w:rPr>
          <w:bCs/>
          <w:b/>
        </w:rPr>
        <w:t xml:space="preserve">Milestone Payment 2 (25%):</w:t>
      </w:r>
      <w:r>
        <w:t xml:space="preserve"> </w:t>
      </w:r>
      <w:r>
        <w:t xml:space="preserve">$15,891.75 – Due upon successful completion of installation supervision and commissioning tests.</w:t>
      </w:r>
    </w:p>
    <w:p>
      <w:pPr>
        <w:numPr>
          <w:ilvl w:val="0"/>
          <w:numId w:val="1002"/>
        </w:numPr>
        <w:pStyle w:val="Compact"/>
      </w:pPr>
      <w:r>
        <w:rPr>
          <w:bCs/>
          <w:b/>
        </w:rPr>
        <w:t xml:space="preserve">Final Payment (20%):</w:t>
      </w:r>
      <w:r>
        <w:t xml:space="preserve"> </w:t>
      </w:r>
      <w:r>
        <w:t xml:space="preserve">$12,713.40 – Due upon completion of training, handover documentation, and expiry of the 90-day support period.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validity period shall require a revised estimate.</w:t>
      </w:r>
    </w:p>
    <w:p>
      <w:pPr>
        <w:numPr>
          <w:ilvl w:val="0"/>
          <w:numId w:val="1003"/>
        </w:numPr>
        <w:pStyle w:val="Compact"/>
      </w:pPr>
      <w:r>
        <w:t xml:space="preserve">All rates quoted are in US Dollars (USD) and are inclusive of the</w:t>
      </w:r>
      <w:r>
        <w:t xml:space="preserve"> </w:t>
      </w:r>
      <w:r>
        <w:t xml:space="preserve">Telecommunication Engineer</w:t>
      </w:r>
      <w:r>
        <w:t xml:space="preserve">'s professional fees, technical expertise, and project management. Hardware, cabling, and third-party equipment costs are excluded unless otherwise specified.</w:t>
      </w:r>
    </w:p>
    <w:p>
      <w:pPr>
        <w:numPr>
          <w:ilvl w:val="0"/>
          <w:numId w:val="1003"/>
        </w:numPr>
        <w:pStyle w:val="Compact"/>
      </w:pPr>
      <w:r>
        <w:t xml:space="preserve">The</w:t>
      </w:r>
      <w:r>
        <w:t xml:space="preserve"> </w:t>
      </w:r>
      <w:r>
        <w:t xml:space="preserve">Telecommunication Engineer</w:t>
      </w:r>
      <w:r>
        <w:t xml:space="preserve"> </w:t>
      </w:r>
      <w:r>
        <w:t xml:space="preserve">shall maintain full professional liability insurance and shall comply with all applicable labor laws, immigration regulations, and work permit requirements of the Republic of the Union of Myanmar while operating in</w:t>
      </w:r>
      <w:r>
        <w:t xml:space="preserve"> </w:t>
      </w:r>
      <w:r>
        <w:t xml:space="preserve">Myanmar Yangon</w:t>
      </w:r>
      <w:r>
        <w:t xml:space="preserve">.</w:t>
      </w:r>
    </w:p>
    <w:p>
      <w:pPr>
        <w:numPr>
          <w:ilvl w:val="0"/>
          <w:numId w:val="1003"/>
        </w:numPr>
        <w:pStyle w:val="Compact"/>
      </w:pPr>
      <w:r>
        <w:t xml:space="preserve">Any changes to the scope of work, project timeline, or site conditions in Myanmar Yangon that materially affect the cost or duration shall be subject to a formal change order and a revised</w:t>
      </w:r>
      <w:r>
        <w:t xml:space="preserve"> </w:t>
      </w:r>
      <w:r>
        <w:t xml:space="preserve">Quotation Estimate</w:t>
      </w:r>
      <w:r>
        <w:t xml:space="preserve"> </w:t>
      </w:r>
      <w:r>
        <w:t xml:space="preserve">mutually agreed upon by both parties.</w:t>
      </w:r>
    </w:p>
    <w:p>
      <w:pPr>
        <w:numPr>
          <w:ilvl w:val="0"/>
          <w:numId w:val="1003"/>
        </w:numPr>
        <w:pStyle w:val="Compact"/>
      </w:pPr>
      <w:r>
        <w:t xml:space="preserve">Confidentiality: All technical data, network designs, and operational information shared during the course of this engagement shall be treated as strictly confidential and shall not be disclosed to any third party without written consent.</w:t>
      </w:r>
    </w:p>
    <w:p>
      <w:pPr>
        <w:numPr>
          <w:ilvl w:val="0"/>
          <w:numId w:val="1003"/>
        </w:numPr>
        <w:pStyle w:val="Compact"/>
      </w:pPr>
      <w:r>
        <w:t xml:space="preserve">Dispute resolution shall be governed by the laws of the Republic of the Union of Myanmar, with any unresolved disputes to be settled through arbitration in Yangon in accordance with the Myanmar Arbitration Law.</w:t>
      </w:r>
    </w:p>
    <w:p>
      <w:pPr>
        <w:numPr>
          <w:ilvl w:val="0"/>
          <w:numId w:val="1003"/>
        </w:numPr>
        <w:pStyle w:val="Compact"/>
      </w:pPr>
      <w:r>
        <w:t xml:space="preserve">The</w:t>
      </w:r>
      <w:r>
        <w:t xml:space="preserve"> </w:t>
      </w:r>
      <w:r>
        <w:t xml:space="preserve">Telecommunication Engineer</w:t>
      </w:r>
      <w:r>
        <w:t xml:space="preserve"> </w:t>
      </w:r>
      <w:r>
        <w:t xml:space="preserve">reserves the right to withdraw from this</w:t>
      </w:r>
      <w:r>
        <w:t xml:space="preserve"> </w:t>
      </w:r>
      <w:r>
        <w:t xml:space="preserve">Quotation Estimate</w:t>
      </w:r>
      <w:r>
        <w:t xml:space="preserve"> </w:t>
      </w:r>
      <w:r>
        <w:t xml:space="preserve">if the client fails to make the advance payment within fourteen (14) days of the acceptance date.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scope of work, and total cost outlined in this</w:t>
      </w:r>
      <w:r>
        <w:t xml:space="preserve"> </w:t>
      </w:r>
      <w:r>
        <w:t xml:space="preserve">Quotation Estimate</w:t>
      </w:r>
      <w:r>
        <w:t xml:space="preserve"> </w:t>
      </w:r>
      <w:r>
        <w:t xml:space="preserve">for the engagement of a</w:t>
      </w:r>
      <w:r>
        <w:t xml:space="preserve"> </w:t>
      </w:r>
      <w:r>
        <w:t xml:space="preserve">Telecommunication Engineer</w:t>
      </w:r>
      <w:r>
        <w:t xml:space="preserve"> </w:t>
      </w:r>
      <w:r>
        <w:t xml:space="preserve">for the project located in</w:t>
      </w:r>
      <w:r>
        <w:t xml:space="preserve"> </w:t>
      </w:r>
      <w:r>
        <w:t xml:space="preserve">Myanmar Yangon</w:t>
      </w:r>
      <w:r>
        <w:t xml:space="preserve">. This acceptance constitutes a binding agreement between the parties for the services described herein.</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Telecommunication Engineer:</w:t>
      </w:r>
    </w:p>
    <w:p>
      <w:pPr>
        <w:pStyle w:val="BodyText"/>
      </w:pPr>
      <w:r>
        <w:t xml:space="preserve">Name: Eng. Thura Aung Kyaw Min, P.Eng.</w:t>
      </w:r>
      <w:r>
        <w:br/>
      </w:r>
      <w:r>
        <w:t xml:space="preserve">Title: Senior Telecommunication Engineer</w:t>
      </w:r>
      <w:r>
        <w:br/>
      </w:r>
      <w:r>
        <w:t xml:space="preserve">Signature: ______________________________</w:t>
      </w:r>
      <w:r>
        <w:br/>
      </w:r>
      <w:r>
        <w:t xml:space="preserve">Date: ______________________________</w:t>
      </w:r>
    </w:p>
    <w:p>
      <w:pPr>
        <w:pStyle w:val="BodyText"/>
      </w:pPr>
      <w:r>
        <w:t xml:space="preserve">This Quotation Estimate document was prepared exclusively for the client named above and is not transferable. © 2025 – All Rights Reserved. | Document Ref: QTE-MYR-YGN-2025-0047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Myanmar Yangon</dc:title>
  <dc:creator/>
  <dc:language>en</dc:language>
  <cp:keywords/>
  <dcterms:created xsi:type="dcterms:W3CDTF">2026-10-10T02:39:48Z</dcterms:created>
  <dcterms:modified xsi:type="dcterms:W3CDTF">2026-10-10T02:39:48Z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