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Amsterdam, Netherlands</w:t>
      </w:r>
    </w:p>
    <w:bookmarkEnd w:id="20"/>
    <w:p>
      <w:pPr>
        <w:pStyle w:val="BodyText"/>
      </w:pPr>
      <w:r>
        <w:rPr>
          <w:bCs/>
          <w:b/>
        </w:rPr>
        <w:t xml:space="preserve">Quotation No.:</w:t>
      </w:r>
      <w:r>
        <w:t xml:space="preserve"> </w:t>
      </w:r>
      <w:r>
        <w:t xml:space="preserve">QTE-2025-AMST-0472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Van der Berg Telecom Solutions B.V.</w:t>
      </w:r>
    </w:p>
    <w:p>
      <w:pPr>
        <w:pStyle w:val="BodyText"/>
      </w:pPr>
      <w:r>
        <w:rPr>
          <w:bCs/>
          <w:b/>
        </w:rPr>
        <w:t xml:space="preserve">Address:</w:t>
      </w:r>
      <w:r>
        <w:t xml:space="preserve"> </w:t>
      </w:r>
      <w:r>
        <w:t xml:space="preserve">Herengracht 420, 1017 CA Amsterdam, Netherlands</w:t>
      </w:r>
    </w:p>
    <w:p>
      <w:pPr>
        <w:pStyle w:val="BodyText"/>
      </w:pPr>
      <w:r>
        <w:rPr>
          <w:bCs/>
          <w:b/>
        </w:rPr>
        <w:t xml:space="preserve">KvK:</w:t>
      </w:r>
      <w:r>
        <w:t xml:space="preserve"> </w:t>
      </w:r>
      <w:r>
        <w:t xml:space="preserve">67421893 | BTW: NL861234567B01</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NorthSea Digital Infrastructure N.V.</w:t>
            </w:r>
          </w:p>
        </w:tc>
      </w:tr>
      <w:tr>
        <w:tc>
          <w:tcPr/>
          <w:p>
            <w:pPr>
              <w:pStyle w:val="Compact"/>
              <w:jc w:val="left"/>
            </w:pPr>
            <w:r>
              <w:t xml:space="preserve">Address</w:t>
            </w:r>
          </w:p>
        </w:tc>
        <w:tc>
          <w:tcPr/>
          <w:p>
            <w:pPr>
              <w:pStyle w:val="Compact"/>
              <w:jc w:val="left"/>
            </w:pPr>
            <w:r>
              <w:t xml:space="preserve">Keizersgracht 188, 1015 DD Amsterdam, Netherlands</w:t>
            </w:r>
          </w:p>
        </w:tc>
      </w:tr>
      <w:tr>
        <w:tc>
          <w:tcPr/>
          <w:p>
            <w:pPr>
              <w:pStyle w:val="Compact"/>
              <w:jc w:val="left"/>
            </w:pPr>
            <w:r>
              <w:t xml:space="preserve">Contact Person</w:t>
            </w:r>
          </w:p>
        </w:tc>
        <w:tc>
          <w:tcPr/>
          <w:p>
            <w:pPr>
              <w:pStyle w:val="Compact"/>
              <w:jc w:val="left"/>
            </w:pPr>
            <w:r>
              <w:t xml:space="preserve">Mr. J. de Vries, Head of IT Infrastructure</w:t>
            </w:r>
          </w:p>
        </w:tc>
      </w:tr>
      <w:tr>
        <w:tc>
          <w:tcPr/>
          <w:p>
            <w:pPr>
              <w:pStyle w:val="Compact"/>
              <w:jc w:val="left"/>
            </w:pPr>
            <w:r>
              <w:t xml:space="preserve">Email</w:t>
            </w:r>
          </w:p>
        </w:tc>
        <w:tc>
          <w:tcPr/>
          <w:p>
            <w:pPr>
              <w:pStyle w:val="Compact"/>
              <w:jc w:val="left"/>
            </w:pPr>
            <w:r>
              <w:t xml:space="preserve">j.devries@northseadigital.nl</w:t>
            </w:r>
          </w:p>
        </w:tc>
      </w:tr>
      <w:tr>
        <w:tc>
          <w:tcPr/>
          <w:p>
            <w:pPr>
              <w:pStyle w:val="Compact"/>
              <w:jc w:val="left"/>
            </w:pPr>
            <w:r>
              <w:t xml:space="preserve">Project Location</w:t>
            </w:r>
          </w:p>
        </w:tc>
        <w:tc>
          <w:tcPr/>
          <w:p>
            <w:pPr>
              <w:pStyle w:val="Compact"/>
              <w:jc w:val="left"/>
            </w:pPr>
            <w:r>
              <w:t xml:space="preserve">Amsterdam Zuidas Business District, Netherlands</w:t>
            </w:r>
          </w:p>
        </w:tc>
      </w:tr>
    </w:tbl>
    <w:bookmarkEnd w:id="21"/>
    <w:bookmarkStart w:id="22" w:name="X95067ef301e04c13d50963faee2dec0659d7053"/>
    <w:p>
      <w:pPr>
        <w:pStyle w:val="Heading2"/>
      </w:pPr>
      <w:r>
        <w:t xml:space="preserve">2. Scope of Work – Telecommunication Engineer Services</w:t>
      </w:r>
    </w:p>
    <w:p>
      <w:pPr>
        <w:pStyle w:val="FirstParagraph"/>
      </w:pPr>
      <w:r>
        <w:t xml:space="preserve">This</w:t>
      </w:r>
      <w:r>
        <w:t xml:space="preserve"> </w:t>
      </w:r>
      <w:r>
        <w:t xml:space="preserve">Quotation Estimate</w:t>
      </w:r>
      <w:r>
        <w:t xml:space="preserve"> </w:t>
      </w:r>
      <w:r>
        <w:t xml:space="preserve">is issued by Van der Berg Telecom Solutions B.V. to provide the services of a certified</w:t>
      </w:r>
      <w:r>
        <w:t xml:space="preserve"> </w:t>
      </w:r>
      <w:r>
        <w:t xml:space="preserve">Telecommunication Engineer</w:t>
      </w:r>
      <w:r>
        <w:t xml:space="preserve"> </w:t>
      </w:r>
      <w:r>
        <w:t xml:space="preserve">for the design, implementation, and commissioning of a fibre-optic and wireless network infrastructure at the client's premises in</w:t>
      </w:r>
      <w:r>
        <w:t xml:space="preserve"> </w:t>
      </w:r>
      <w:r>
        <w:t xml:space="preserve">Netherlands Amsterdam</w:t>
      </w:r>
      <w:r>
        <w:t xml:space="preserve">. The Telecommunication Engineer will be responsible for the following deliverables:</w:t>
      </w:r>
    </w:p>
    <w:p>
      <w:pPr>
        <w:numPr>
          <w:ilvl w:val="0"/>
          <w:numId w:val="1001"/>
        </w:numPr>
        <w:pStyle w:val="Compact"/>
      </w:pPr>
      <w:r>
        <w:t xml:space="preserve">Site survey and feasibility assessment of the existing network infrastructure at the Amsterdam Zuidas office complex.</w:t>
      </w:r>
    </w:p>
    <w:p>
      <w:pPr>
        <w:numPr>
          <w:ilvl w:val="0"/>
          <w:numId w:val="1001"/>
        </w:numPr>
        <w:pStyle w:val="Compact"/>
      </w:pPr>
      <w:r>
        <w:t xml:space="preserve">Design of a redundant fibre-optic backbone network supporting 10 Gbps throughput across three floors of the building.</w:t>
      </w:r>
    </w:p>
    <w:p>
      <w:pPr>
        <w:numPr>
          <w:ilvl w:val="0"/>
          <w:numId w:val="1001"/>
        </w:numPr>
        <w:pStyle w:val="Compact"/>
      </w:pPr>
      <w:r>
        <w:t xml:space="preserve">Deployment and configuration of enterprise-grade wireless access points (Wi-Fi 6E) to ensure full coverage throughout the facility.</w:t>
      </w:r>
    </w:p>
    <w:p>
      <w:pPr>
        <w:numPr>
          <w:ilvl w:val="0"/>
          <w:numId w:val="1001"/>
        </w:numPr>
        <w:pStyle w:val="Compact"/>
      </w:pPr>
      <w:r>
        <w:t xml:space="preserve">Installation and testing of structured cabling (Cat 6A and fibre) in compliance with NEN 5810 and ISO/IEC 11801 standards applicable in the Netherlands.</w:t>
      </w:r>
    </w:p>
    <w:p>
      <w:pPr>
        <w:numPr>
          <w:ilvl w:val="0"/>
          <w:numId w:val="1001"/>
        </w:numPr>
        <w:pStyle w:val="Compact"/>
      </w:pPr>
      <w:r>
        <w:t xml:space="preserve">Integration of the new telecommunication systems with the client's existing IP-PBX and VoIP telephony platform.</w:t>
      </w:r>
    </w:p>
    <w:p>
      <w:pPr>
        <w:numPr>
          <w:ilvl w:val="0"/>
          <w:numId w:val="1001"/>
        </w:numPr>
        <w:pStyle w:val="Compact"/>
      </w:pPr>
      <w:r>
        <w:t xml:space="preserve">Provision of a comprehensive as-built documentation package, including network topology diagrams, cable schedules, and test certificates.</w:t>
      </w:r>
    </w:p>
    <w:p>
      <w:pPr>
        <w:numPr>
          <w:ilvl w:val="0"/>
          <w:numId w:val="1001"/>
        </w:numPr>
        <w:pStyle w:val="Compact"/>
      </w:pPr>
      <w:r>
        <w:t xml:space="preserve">On-site training for the client's internal IT staff (up to 8 hours) to ensure operational handover.</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Estimated Start</w:t>
            </w:r>
          </w:p>
        </w:tc>
      </w:tr>
      <w:tr>
        <w:tc>
          <w:tcPr/>
          <w:p>
            <w:pPr>
              <w:pStyle w:val="Compact"/>
              <w:jc w:val="left"/>
            </w:pPr>
            <w:r>
              <w:t xml:space="preserve">Phase 1</w:t>
            </w:r>
          </w:p>
        </w:tc>
        <w:tc>
          <w:tcPr/>
          <w:p>
            <w:pPr>
              <w:pStyle w:val="Compact"/>
              <w:jc w:val="left"/>
            </w:pPr>
            <w:r>
              <w:t xml:space="preserve">Site survey, requirements gathering, and design documentation</w:t>
            </w:r>
          </w:p>
        </w:tc>
        <w:tc>
          <w:tcPr/>
          <w:p>
            <w:pPr>
              <w:pStyle w:val="Compact"/>
              <w:jc w:val="left"/>
            </w:pPr>
            <w:r>
              <w:t xml:space="preserve">2 weeks</w:t>
            </w:r>
          </w:p>
        </w:tc>
        <w:tc>
          <w:tcPr/>
          <w:p>
            <w:pPr>
              <w:pStyle w:val="Compact"/>
              <w:jc w:val="left"/>
            </w:pPr>
            <w:r>
              <w:t xml:space="preserve">1 July 2025</w:t>
            </w:r>
          </w:p>
        </w:tc>
      </w:tr>
      <w:tr>
        <w:tc>
          <w:tcPr/>
          <w:p>
            <w:pPr>
              <w:pStyle w:val="Compact"/>
              <w:jc w:val="left"/>
            </w:pPr>
            <w:r>
              <w:t xml:space="preserve">Phase 2</w:t>
            </w:r>
          </w:p>
        </w:tc>
        <w:tc>
          <w:tcPr/>
          <w:p>
            <w:pPr>
              <w:pStyle w:val="Compact"/>
              <w:jc w:val="left"/>
            </w:pPr>
            <w:r>
              <w:t xml:space="preserve">Procurement of materials and equipment</w:t>
            </w:r>
          </w:p>
        </w:tc>
        <w:tc>
          <w:tcPr/>
          <w:p>
            <w:pPr>
              <w:pStyle w:val="Compact"/>
              <w:jc w:val="left"/>
            </w:pPr>
            <w:r>
              <w:t xml:space="preserve">3 weeks</w:t>
            </w:r>
          </w:p>
        </w:tc>
        <w:tc>
          <w:tcPr/>
          <w:p>
            <w:pPr>
              <w:pStyle w:val="Compact"/>
              <w:jc w:val="left"/>
            </w:pPr>
            <w:r>
              <w:t xml:space="preserve">15 July 2025</w:t>
            </w:r>
          </w:p>
        </w:tc>
      </w:tr>
      <w:tr>
        <w:tc>
          <w:tcPr/>
          <w:p>
            <w:pPr>
              <w:pStyle w:val="Compact"/>
              <w:jc w:val="left"/>
            </w:pPr>
            <w:r>
              <w:t xml:space="preserve">Phase 3</w:t>
            </w:r>
          </w:p>
        </w:tc>
        <w:tc>
          <w:tcPr/>
          <w:p>
            <w:pPr>
              <w:pStyle w:val="Compact"/>
              <w:jc w:val="left"/>
            </w:pPr>
            <w:r>
              <w:t xml:space="preserve">Physical installation, cabling, and hardware deployment</w:t>
            </w:r>
          </w:p>
        </w:tc>
        <w:tc>
          <w:tcPr/>
          <w:p>
            <w:pPr>
              <w:pStyle w:val="Compact"/>
              <w:jc w:val="left"/>
            </w:pPr>
            <w:r>
              <w:t xml:space="preserve">4 weeks</w:t>
            </w:r>
          </w:p>
        </w:tc>
        <w:tc>
          <w:tcPr/>
          <w:p>
            <w:pPr>
              <w:pStyle w:val="Compact"/>
              <w:jc w:val="left"/>
            </w:pPr>
            <w:r>
              <w:t xml:space="preserve">1 August 2025</w:t>
            </w:r>
          </w:p>
        </w:tc>
      </w:tr>
      <w:tr>
        <w:tc>
          <w:tcPr/>
          <w:p>
            <w:pPr>
              <w:pStyle w:val="Compact"/>
              <w:jc w:val="left"/>
            </w:pPr>
            <w:r>
              <w:t xml:space="preserve">Phase 4</w:t>
            </w:r>
          </w:p>
        </w:tc>
        <w:tc>
          <w:tcPr/>
          <w:p>
            <w:pPr>
              <w:pStyle w:val="Compact"/>
              <w:jc w:val="left"/>
            </w:pPr>
            <w:r>
              <w:t xml:space="preserve">System configuration, testing, and commissioning</w:t>
            </w:r>
          </w:p>
        </w:tc>
        <w:tc>
          <w:tcPr/>
          <w:p>
            <w:pPr>
              <w:pStyle w:val="Compact"/>
              <w:jc w:val="left"/>
            </w:pPr>
            <w:r>
              <w:t xml:space="preserve">2 weeks</w:t>
            </w:r>
          </w:p>
        </w:tc>
        <w:tc>
          <w:tcPr/>
          <w:p>
            <w:pPr>
              <w:pStyle w:val="Compact"/>
              <w:jc w:val="left"/>
            </w:pPr>
            <w:r>
              <w:t xml:space="preserve">1 September 2025</w:t>
            </w:r>
          </w:p>
        </w:tc>
      </w:tr>
      <w:tr>
        <w:tc>
          <w:tcPr/>
          <w:p>
            <w:pPr>
              <w:pStyle w:val="Compact"/>
              <w:jc w:val="left"/>
            </w:pPr>
            <w:r>
              <w:t xml:space="preserve">Phase 5</w:t>
            </w:r>
          </w:p>
        </w:tc>
        <w:tc>
          <w:tcPr/>
          <w:p>
            <w:pPr>
              <w:pStyle w:val="Compact"/>
              <w:jc w:val="left"/>
            </w:pPr>
            <w:r>
              <w:t xml:space="preserve">Documentation, training, and final handover</w:t>
            </w:r>
          </w:p>
        </w:tc>
        <w:tc>
          <w:tcPr/>
          <w:p>
            <w:pPr>
              <w:pStyle w:val="Compact"/>
              <w:jc w:val="left"/>
            </w:pPr>
            <w:r>
              <w:t xml:space="preserve">1 week</w:t>
            </w:r>
          </w:p>
        </w:tc>
        <w:tc>
          <w:tcPr/>
          <w:p>
            <w:pPr>
              <w:pStyle w:val="Compact"/>
              <w:jc w:val="left"/>
            </w:pPr>
            <w:r>
              <w:t xml:space="preserve">15 September 2025</w:t>
            </w:r>
          </w:p>
        </w:tc>
      </w:tr>
    </w:tbl>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Telecommunication Engineer – Senior (design &amp; supervision)</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Telecommunication Engineer – Technician (installation &amp; cabling)</w:t>
            </w:r>
          </w:p>
        </w:tc>
        <w:tc>
          <w:tcPr/>
          <w:p>
            <w:pPr>
              <w:pStyle w:val="Compact"/>
              <w:jc w:val="left"/>
            </w:pPr>
            <w:r>
              <w:t xml:space="preserve">200 hrs</w:t>
            </w:r>
          </w:p>
        </w:tc>
        <w:tc>
          <w:tcPr/>
          <w:p>
            <w:pPr>
              <w:pStyle w:val="Compact"/>
              <w:jc w:val="left"/>
            </w:pPr>
            <w:r>
              <w:t xml:space="preserve">€62.00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Fibre-optic cable (OS2, 12-core) – per metre</w:t>
            </w:r>
          </w:p>
        </w:tc>
        <w:tc>
          <w:tcPr/>
          <w:p>
            <w:pPr>
              <w:pStyle w:val="Compact"/>
              <w:jc w:val="left"/>
            </w:pPr>
            <w:r>
              <w:t xml:space="preserve">1,200 m</w:t>
            </w:r>
          </w:p>
        </w:tc>
        <w:tc>
          <w:tcPr/>
          <w:p>
            <w:pPr>
              <w:pStyle w:val="Compact"/>
              <w:jc w:val="left"/>
            </w:pPr>
            <w:r>
              <w:t xml:space="preserve">€4.50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Structured cabling (Cat 6A) – per point</w:t>
            </w:r>
          </w:p>
        </w:tc>
        <w:tc>
          <w:tcPr/>
          <w:p>
            <w:pPr>
              <w:pStyle w:val="Compact"/>
              <w:jc w:val="left"/>
            </w:pPr>
            <w:r>
              <w:t xml:space="preserve">180 pts</w:t>
            </w:r>
          </w:p>
        </w:tc>
        <w:tc>
          <w:tcPr/>
          <w:p>
            <w:pPr>
              <w:pStyle w:val="Compact"/>
              <w:jc w:val="left"/>
            </w:pPr>
            <w:r>
              <w:t xml:space="preserve">€38.00</w:t>
            </w:r>
          </w:p>
        </w:tc>
        <w:tc>
          <w:tcPr/>
          <w:p>
            <w:pPr>
              <w:pStyle w:val="Compact"/>
              <w:jc w:val="left"/>
            </w:pPr>
            <w:r>
              <w:t xml:space="preserve">€6,840.00</w:t>
            </w:r>
          </w:p>
        </w:tc>
      </w:tr>
      <w:tr>
        <w:tc>
          <w:tcPr/>
          <w:p>
            <w:pPr>
              <w:pStyle w:val="Compact"/>
              <w:jc w:val="left"/>
            </w:pPr>
            <w:r>
              <w:t xml:space="preserve">5</w:t>
            </w:r>
          </w:p>
        </w:tc>
        <w:tc>
          <w:tcPr/>
          <w:p>
            <w:pPr>
              <w:pStyle w:val="Compact"/>
              <w:jc w:val="left"/>
            </w:pPr>
            <w:r>
              <w:t xml:space="preserve">Enterprise Wi-Fi 6E access points (installed &amp; configured)</w:t>
            </w:r>
          </w:p>
        </w:tc>
        <w:tc>
          <w:tcPr/>
          <w:p>
            <w:pPr>
              <w:pStyle w:val="Compact"/>
              <w:jc w:val="left"/>
            </w:pPr>
            <w:r>
              <w:t xml:space="preserve">24 units</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6</w:t>
            </w:r>
          </w:p>
        </w:tc>
        <w:tc>
          <w:tcPr/>
          <w:p>
            <w:pPr>
              <w:pStyle w:val="Compact"/>
              <w:jc w:val="left"/>
            </w:pPr>
            <w:r>
              <w:t xml:space="preserve">Network switches (48-port, 10G uplink) – installed</w:t>
            </w:r>
          </w:p>
        </w:tc>
        <w:tc>
          <w:tcPr/>
          <w:p>
            <w:pPr>
              <w:pStyle w:val="Compact"/>
              <w:jc w:val="left"/>
            </w:pPr>
            <w:r>
              <w:t xml:space="preserve">6 units</w:t>
            </w:r>
          </w:p>
        </w:tc>
        <w:tc>
          <w:tcPr/>
          <w:p>
            <w:pPr>
              <w:pStyle w:val="Compact"/>
              <w:jc w:val="left"/>
            </w:pPr>
            <w:r>
              <w:t xml:space="preserve">€2,850.00</w:t>
            </w:r>
          </w:p>
        </w:tc>
        <w:tc>
          <w:tcPr/>
          <w:p>
            <w:pPr>
              <w:pStyle w:val="Compact"/>
              <w:jc w:val="left"/>
            </w:pPr>
            <w:r>
              <w:t xml:space="preserve">€17,100.00</w:t>
            </w:r>
          </w:p>
        </w:tc>
      </w:tr>
      <w:tr>
        <w:tc>
          <w:tcPr/>
          <w:p>
            <w:pPr>
              <w:pStyle w:val="Compact"/>
              <w:jc w:val="left"/>
            </w:pPr>
            <w:r>
              <w:t xml:space="preserve">7</w:t>
            </w:r>
          </w:p>
        </w:tc>
        <w:tc>
          <w:tcPr/>
          <w:p>
            <w:pPr>
              <w:pStyle w:val="Compact"/>
              <w:jc w:val="left"/>
            </w:pPr>
            <w:r>
              <w:t xml:space="preserve">Testing, certification, and documentation</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On-site training (client IT staff, 8 hours)</w:t>
            </w:r>
          </w:p>
        </w:tc>
        <w:tc>
          <w:tcPr/>
          <w:p>
            <w:pPr>
              <w:pStyle w:val="Compact"/>
              <w:jc w:val="left"/>
            </w:pPr>
            <w:r>
              <w:t xml:space="preserve">1 lot</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9</w:t>
            </w:r>
          </w:p>
        </w:tc>
        <w:tc>
          <w:tcPr/>
          <w:p>
            <w:pPr>
              <w:pStyle w:val="Compact"/>
              <w:jc w:val="left"/>
            </w:pPr>
            <w:r>
              <w:t xml:space="preserve">Travel and accommodation (Amsterdam area)</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(excl. BTW/VAT)</w:t>
            </w:r>
          </w:p>
        </w:tc>
        <w:tc>
          <w:tcPr/>
          <w:p>
            <w:pPr>
              <w:pStyle w:val="Compact"/>
              <w:jc w:val="left"/>
            </w:pPr>
            <w:r>
              <w:t xml:space="preserve">€69,420.00</w:t>
            </w:r>
          </w:p>
        </w:tc>
      </w:tr>
      <w:tr>
        <w:tc>
          <w:tcPr>
            <w:gridSpan w:val="4"/>
          </w:tcPr>
          <w:p>
            <w:pPr>
              <w:pStyle w:val="Compact"/>
              <w:jc w:val="left"/>
            </w:pPr>
            <w:r>
              <w:t xml:space="preserve">BTW / VAT (21%)</w:t>
            </w:r>
          </w:p>
        </w:tc>
        <w:tc>
          <w:tcPr/>
          <w:p>
            <w:pPr>
              <w:pStyle w:val="Compact"/>
              <w:jc w:val="left"/>
            </w:pPr>
            <w:r>
              <w:t xml:space="preserve">€14,578.20</w:t>
            </w:r>
          </w:p>
        </w:tc>
      </w:tr>
      <w:tr>
        <w:tc>
          <w:tcPr>
            <w:gridSpan w:val="4"/>
          </w:tcPr>
          <w:p>
            <w:pPr>
              <w:pStyle w:val="Compact"/>
              <w:jc w:val="left"/>
            </w:pPr>
            <w:r>
              <w:t xml:space="preserve">Total Amount (incl. BTW/VAT)</w:t>
            </w:r>
          </w:p>
        </w:tc>
        <w:tc>
          <w:tcPr/>
          <w:p>
            <w:pPr>
              <w:pStyle w:val="Compact"/>
              <w:jc w:val="left"/>
            </w:pPr>
            <w:r>
              <w:t xml:space="preserve">€83,998.20</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90 calendar days from the date of issue. After this period, pricing may be subject to revision due to material cost fluctuations or changes in the Dutch labour market.</w:t>
      </w:r>
    </w:p>
    <w:p>
      <w:pPr>
        <w:numPr>
          <w:ilvl w:val="0"/>
          <w:numId w:val="1002"/>
        </w:numPr>
        <w:pStyle w:val="Compact"/>
      </w:pPr>
      <w:r>
        <w:t xml:space="preserve">Payment terms: 30% advance payment upon acceptance of this Quotation Estimate, 40% upon completion of Phase 3 (physical installation), and 30% upon final acceptance and handover.</w:t>
      </w:r>
    </w:p>
    <w:p>
      <w:pPr>
        <w:numPr>
          <w:ilvl w:val="0"/>
          <w:numId w:val="1002"/>
        </w:numPr>
        <w:pStyle w:val="Compact"/>
      </w:pPr>
      <w:r>
        <w:t xml:space="preserve">All work performed by the Telecommunication Engineer will comply with Dutch building regulations, NEN 5810 (structured cabling), and applicable European telecommunications directives.</w:t>
      </w:r>
    </w:p>
    <w:p>
      <w:pPr>
        <w:numPr>
          <w:ilvl w:val="0"/>
          <w:numId w:val="1002"/>
        </w:numPr>
        <w:pStyle w:val="Compact"/>
      </w:pPr>
      <w:r>
        <w:t xml:space="preserve">The Telecommunication Engineer assigned to this project in Netherlands Amsterdam will hold valid certifications including BICSI, CompTIA Network+, and the Dutch NEN 5810 installer certification.</w:t>
      </w:r>
    </w:p>
    <w:p>
      <w:pPr>
        <w:numPr>
          <w:ilvl w:val="0"/>
          <w:numId w:val="1002"/>
        </w:numPr>
        <w:pStyle w:val="Compact"/>
      </w:pPr>
      <w:r>
        <w:t xml:space="preserve">Warranty: A 24-month warranty is provided on all installed hardware and workmanship. The warranty period commences on the date of final acceptance.</w:t>
      </w:r>
    </w:p>
    <w:p>
      <w:pPr>
        <w:numPr>
          <w:ilvl w:val="0"/>
          <w:numId w:val="1002"/>
        </w:numPr>
        <w:pStyle w:val="Compact"/>
      </w:pPr>
      <w:r>
        <w:t xml:space="preserve">Any changes to the scope of work must be agreed upon in writing via a formal change order. Additional costs will be quoted separately.</w:t>
      </w:r>
    </w:p>
    <w:p>
      <w:pPr>
        <w:numPr>
          <w:ilvl w:val="0"/>
          <w:numId w:val="1002"/>
        </w:numPr>
        <w:pStyle w:val="Compact"/>
      </w:pPr>
      <w:r>
        <w:t xml:space="preserve">This Quotation Estimate is governed by the laws of the Netherlands. Any disputes shall be resolved by the competent court in Amsterdam.</w:t>
      </w:r>
    </w:p>
    <w:p>
      <w:pPr>
        <w:numPr>
          <w:ilvl w:val="0"/>
          <w:numId w:val="1002"/>
        </w:numPr>
        <w:pStyle w:val="Compact"/>
      </w:pPr>
      <w:r>
        <w:t xml:space="preserve">Confidentiality: All project documentation, network designs, and client data shared during the engagement are subject to a mutual Non-Disclosure Agreement (NDA) to be executed prior to commencement.</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the Telecommunication Engineer services to be delivered in Netherlands Amsterdam. The project will commence upon receipt of the advance payment and execution of the NDA.</w:t>
      </w:r>
    </w:p>
    <w:bookmarkEnd w:id="26"/>
    <w:p>
      <w:pPr>
        <w:pStyle w:val="BodyText"/>
      </w:pPr>
      <w:r>
        <w:rPr>
          <w:bCs/>
          <w:b/>
        </w:rPr>
        <w:t xml:space="preserve">For: Van der Berg Telecom Solutions B.V.</w:t>
      </w:r>
    </w:p>
    <w:p>
      <w:pPr>
        <w:pStyle w:val="BodyText"/>
      </w:pPr>
      <w:r>
        <w:t xml:space="preserve">Name: Dr. S. van der Berg</w:t>
      </w:r>
    </w:p>
    <w:p>
      <w:pPr>
        <w:pStyle w:val="BodyText"/>
      </w:pPr>
      <w:r>
        <w:t xml:space="preserve">Position: Managing Director</w:t>
      </w:r>
    </w:p>
    <w:p>
      <w:pPr>
        <w:pStyle w:val="BodyText"/>
      </w:pPr>
      <w:r>
        <w:t xml:space="preserve">Signature &amp; Date</w:t>
      </w:r>
    </w:p>
    <w:p>
      <w:pPr>
        <w:pStyle w:val="BodyText"/>
      </w:pPr>
      <w:r>
        <w:rPr>
          <w:bCs/>
          <w:b/>
        </w:rPr>
        <w:t xml:space="preserve">For: NorthSea Digital Infrastructure N.V.</w:t>
      </w:r>
    </w:p>
    <w:p>
      <w:pPr>
        <w:pStyle w:val="BodyText"/>
      </w:pPr>
      <w:r>
        <w:t xml:space="preserve">Name: Mr. J. de Vries</w:t>
      </w:r>
    </w:p>
    <w:p>
      <w:pPr>
        <w:pStyle w:val="BodyText"/>
      </w:pPr>
      <w:r>
        <w:t xml:space="preserve">Position: Head of IT Infrastructure</w:t>
      </w:r>
    </w:p>
    <w:p>
      <w:pPr>
        <w:pStyle w:val="BodyText"/>
      </w:pPr>
      <w:r>
        <w:t xml:space="preserve">Signature &amp; Date</w:t>
      </w:r>
    </w:p>
    <w:p>
      <w:pPr>
        <w:pStyle w:val="BodyText"/>
      </w:pPr>
      <w:r>
        <w:t xml:space="preserve">Van der Berg Telecom Solutions B.V. | Herengracht 420, 1017 CA Amsterdam, Netherlands | KvK 67421893 | BTW NL861234567B01</w:t>
      </w:r>
    </w:p>
    <w:p>
      <w:pPr>
        <w:pStyle w:val="BodyText"/>
      </w:pPr>
      <w:r>
        <w:t xml:space="preserve">This Quotation Estimate was prepared specifically for the Telecommunication Engineer engagement in Netherlands Amsterdam and is non-transferable.</w:t>
      </w:r>
    </w:p>
    <w:p>
      <w:pPr>
        <w:pStyle w:val="BodyText"/>
      </w:pPr>
      <w:r>
        <w:t xml:space="preserve">Document Reference: QTE-2025-AMST-0472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Netherlands Amsterdam</dc:title>
  <dc:creator/>
  <dc:language>en</dc:language>
  <cp:keywords/>
  <dcterms:created xsi:type="dcterms:W3CDTF">2026-10-10T04:32:51Z</dcterms:created>
  <dcterms:modified xsi:type="dcterms:W3CDTF">2026-10-10T04:32:51Z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