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Russia</w:t>
      </w:r>
      <w:r>
        <w:t xml:space="preserve"> </w:t>
      </w:r>
      <w:r>
        <w:t xml:space="preserve">Moscow</w:t>
      </w:r>
    </w:p>
    <w:bookmarkStart w:id="20" w:name="techcom-solutions-llc"/>
    <w:p>
      <w:pPr>
        <w:pStyle w:val="Heading1"/>
      </w:pPr>
      <w:r>
        <w:t xml:space="preserve">TECHCOM SOLUTIONS LLC</w:t>
      </w:r>
    </w:p>
    <w:p>
      <w:pPr>
        <w:pStyle w:val="FirstParagraph"/>
      </w:pPr>
      <w:r>
        <w:t xml:space="preserve">12 Tverskaya Street, Building 4, Moscow, 125009, Russian Federation</w:t>
      </w:r>
    </w:p>
    <w:p>
      <w:pPr>
        <w:pStyle w:val="BodyText"/>
      </w:pPr>
      <w:r>
        <w:t xml:space="preserve">Tel: +7 (495) 123-4567 | Email: estimates@techcom-solutions.ru</w:t>
      </w:r>
    </w:p>
    <w:p>
      <w:pPr>
        <w:pStyle w:val="BodyText"/>
      </w:pPr>
      <w:r>
        <w:t xml:space="preserve">INN: 7701234567 | OGRN: 1157746000000</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QE-2025-0784-RM</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Russia Moscow, Central Administrative District</w:t>
      </w:r>
    </w:p>
    <w:p>
      <w:pPr>
        <w:pStyle w:val="BodyText"/>
      </w:pPr>
      <w:r>
        <w:rPr>
          <w:bCs/>
          <w:b/>
        </w:rPr>
        <w:t xml:space="preserve">Prepared By:</w:t>
      </w:r>
      <w:r>
        <w:t xml:space="preserve"> </w:t>
      </w:r>
      <w:r>
        <w:t xml:space="preserve">Senior Estimation Department</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[Client Address], Moscow, Russia</w:t>
      </w:r>
    </w:p>
    <w:p>
      <w:pPr>
        <w:pStyle w:val="BodyText"/>
      </w:pPr>
      <w:r>
        <w:rPr>
          <w:bCs/>
          <w:b/>
        </w:rPr>
        <w:t xml:space="preserve">Contact Person:</w:t>
      </w:r>
      <w:r>
        <w:t xml:space="preserve"> </w:t>
      </w:r>
      <w:r>
        <w:t xml:space="preserve">[Name and Title]</w:t>
      </w:r>
    </w:p>
    <w:p>
      <w:pPr>
        <w:pStyle w:val="BodyText"/>
      </w:pPr>
      <w:r>
        <w:rPr>
          <w:bCs/>
          <w:b/>
        </w:rPr>
        <w:t xml:space="preserve">Phone:</w:t>
      </w:r>
      <w:r>
        <w:t xml:space="preserve"> </w:t>
      </w:r>
      <w:r>
        <w:t xml:space="preserve">[Phone Number]</w:t>
      </w:r>
    </w:p>
    <w:p>
      <w:pPr>
        <w:pStyle w:val="BodyText"/>
      </w:pPr>
      <w:r>
        <w:rPr>
          <w:bCs/>
          <w:b/>
        </w:rPr>
        <w:t xml:space="preserve">Email:</w:t>
      </w:r>
      <w:r>
        <w:t xml:space="preserve"> </w:t>
      </w:r>
      <w:r>
        <w:t xml:space="preserve">[Email Address]</w:t>
      </w:r>
    </w:p>
    <w:bookmarkEnd w:id="22"/>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issued by TechCom Solutions LLC to provide a comprehensive and itemized cost breakdown for the engagement of a certified</w:t>
      </w:r>
      <w:r>
        <w:t xml:space="preserve"> </w:t>
      </w:r>
      <w:r>
        <w:t xml:space="preserve">Telecommunication Engineer</w:t>
      </w:r>
      <w:r>
        <w:t xml:space="preserve"> </w:t>
      </w:r>
      <w:r>
        <w:t xml:space="preserve">to perform design, installation, commissioning, and maintenance of telecommunication infrastructure within the</w:t>
      </w:r>
      <w:r>
        <w:t xml:space="preserve"> </w:t>
      </w:r>
      <w:r>
        <w:t xml:space="preserve">Russia Moscow</w:t>
      </w:r>
      <w:r>
        <w:t xml:space="preserve"> </w:t>
      </w:r>
      <w:r>
        <w:t xml:space="preserve">metropolitan area. This document serves as a formal pricing proposal and is intended to give the client full transparency regarding all labor, material, and logistical costs associated with the project. The</w:t>
      </w:r>
      <w:r>
        <w:t xml:space="preserve"> </w:t>
      </w:r>
      <w:r>
        <w:t xml:space="preserve">Telecommunication Engineer</w:t>
      </w:r>
      <w:r>
        <w:t xml:space="preserve"> </w:t>
      </w:r>
      <w:r>
        <w:t xml:space="preserve">assigned to this project will operate in strict compliance with Russian Federation telecommunications regulations, GOST standards, and the specific technical requirements of the Moscow City Administration.</w:t>
      </w:r>
    </w:p>
    <w:p>
      <w:pPr>
        <w:pStyle w:val="BodyText"/>
      </w:pPr>
      <w:r>
        <w:t xml:space="preserve">2. Scope of Work – Telecommunication Engineer Services in Russia Moscow</w:t>
      </w:r>
    </w:p>
    <w:p>
      <w:pPr>
        <w:pStyle w:val="BodyText"/>
      </w:pPr>
      <w:r>
        <w:t xml:space="preserve">The</w:t>
      </w:r>
      <w:r>
        <w:t xml:space="preserve"> </w:t>
      </w:r>
      <w:r>
        <w:t xml:space="preserve">Telecommunication Engineer</w:t>
      </w:r>
      <w:r>
        <w:t xml:space="preserve"> </w:t>
      </w:r>
      <w:r>
        <w:t xml:space="preserve">will be responsible for the following activities across designated sites in</w:t>
      </w:r>
      <w:r>
        <w:t xml:space="preserve"> </w:t>
      </w:r>
      <w:r>
        <w:t xml:space="preserve">Russia Moscow</w:t>
      </w:r>
      <w:r>
        <w:t xml:space="preserve">:</w:t>
      </w:r>
    </w:p>
    <w:p>
      <w:pPr>
        <w:numPr>
          <w:ilvl w:val="0"/>
          <w:numId w:val="1001"/>
        </w:numPr>
        <w:pStyle w:val="Compact"/>
      </w:pPr>
      <w:r>
        <w:t xml:space="preserve">Site survey and feasibility assessment of existing telecommunication networks in the client's premises located in the Moscow business district.</w:t>
      </w:r>
    </w:p>
    <w:p>
      <w:pPr>
        <w:numPr>
          <w:ilvl w:val="0"/>
          <w:numId w:val="1001"/>
        </w:numPr>
        <w:pStyle w:val="Compact"/>
      </w:pPr>
      <w:r>
        <w:t xml:space="preserve">Design and engineering of fiber-optic and copper-based telecommunication cabling infrastructure in accordance with GOST R 51133-98 and IEC 60794 standards.</w:t>
      </w:r>
    </w:p>
    <w:p>
      <w:pPr>
        <w:numPr>
          <w:ilvl w:val="0"/>
          <w:numId w:val="1001"/>
        </w:numPr>
        <w:pStyle w:val="Compact"/>
      </w:pPr>
      <w:r>
        <w:t xml:space="preserve">Installation and termination of structured cabling systems, including Cat6A and single-mode fiber-optic runs, within the client's office complex in Russia Moscow.</w:t>
      </w:r>
    </w:p>
    <w:p>
      <w:pPr>
        <w:numPr>
          <w:ilvl w:val="0"/>
          <w:numId w:val="1001"/>
        </w:numPr>
        <w:pStyle w:val="Compact"/>
      </w:pPr>
      <w:r>
        <w:t xml:space="preserve">Configuration and commissioning of network switches, routers, and telecommunication exchange equipment.</w:t>
      </w:r>
    </w:p>
    <w:p>
      <w:pPr>
        <w:numPr>
          <w:ilvl w:val="0"/>
          <w:numId w:val="1001"/>
        </w:numPr>
        <w:pStyle w:val="Compact"/>
      </w:pPr>
      <w:r>
        <w:t xml:space="preserve">Integration of the telecommunication system with the existing Moscow city-wide fiber backbone network.</w:t>
      </w:r>
    </w:p>
    <w:p>
      <w:pPr>
        <w:numPr>
          <w:ilvl w:val="0"/>
          <w:numId w:val="1001"/>
        </w:numPr>
        <w:pStyle w:val="Compact"/>
      </w:pPr>
      <w:r>
        <w:t xml:space="preserve">Performance testing, signal attenuation measurement, and certification of all installed telecommunication links.</w:t>
      </w:r>
    </w:p>
    <w:p>
      <w:pPr>
        <w:numPr>
          <w:ilvl w:val="0"/>
          <w:numId w:val="1001"/>
        </w:numPr>
        <w:pStyle w:val="Compact"/>
      </w:pPr>
      <w:r>
        <w:t xml:space="preserve">Preparation of as-built documentation, network topology diagrams, and compliance reports for submission to the Moscow Telecommunications Regulatory Authority.</w:t>
      </w:r>
    </w:p>
    <w:p>
      <w:pPr>
        <w:numPr>
          <w:ilvl w:val="0"/>
          <w:numId w:val="1001"/>
        </w:numPr>
        <w:pStyle w:val="Compact"/>
      </w:pPr>
      <w:r>
        <w:t xml:space="preserve">Provision of a 12-month warranty period covering all work performed by the Telecommunication Engineer.</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Work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Price (RUB)</w:t>
            </w:r>
          </w:p>
        </w:tc>
      </w:tr>
      <w:tr>
        <w:tc>
          <w:tcPr/>
          <w:p>
            <w:pPr>
              <w:pStyle w:val="Compact"/>
              <w:jc w:val="left"/>
            </w:pPr>
            <w:r>
              <w:t xml:space="preserve">1</w:t>
            </w:r>
          </w:p>
        </w:tc>
        <w:tc>
          <w:tcPr/>
          <w:p>
            <w:pPr>
              <w:pStyle w:val="Compact"/>
              <w:jc w:val="left"/>
            </w:pPr>
            <w:r>
              <w:t xml:space="preserve">Telecommunication Engineer – Senior (20+ years experience) – On-site design and engineering in Russia Moscow</w:t>
            </w:r>
          </w:p>
        </w:tc>
        <w:tc>
          <w:tcPr/>
          <w:p>
            <w:pPr>
              <w:pStyle w:val="Compact"/>
              <w:jc w:val="left"/>
            </w:pPr>
            <w:r>
              <w:t xml:space="preserve">40</w:t>
            </w:r>
          </w:p>
        </w:tc>
        <w:tc>
          <w:tcPr/>
          <w:p>
            <w:pPr>
              <w:pStyle w:val="Compact"/>
              <w:jc w:val="left"/>
            </w:pPr>
            <w:r>
              <w:t xml:space="preserve">Man-hours</w:t>
            </w:r>
          </w:p>
        </w:tc>
        <w:tc>
          <w:tcPr/>
          <w:p>
            <w:pPr>
              <w:pStyle w:val="Compact"/>
              <w:jc w:val="left"/>
            </w:pPr>
            <w:r>
              <w:t xml:space="preserve">4,500</w:t>
            </w:r>
          </w:p>
        </w:tc>
        <w:tc>
          <w:tcPr/>
          <w:p>
            <w:pPr>
              <w:pStyle w:val="Compact"/>
              <w:jc w:val="left"/>
            </w:pPr>
            <w:r>
              <w:t xml:space="preserve">180,000</w:t>
            </w:r>
          </w:p>
        </w:tc>
      </w:tr>
      <w:tr>
        <w:tc>
          <w:tcPr/>
          <w:p>
            <w:pPr>
              <w:pStyle w:val="Compact"/>
              <w:jc w:val="left"/>
            </w:pPr>
            <w:r>
              <w:t xml:space="preserve">2</w:t>
            </w:r>
          </w:p>
        </w:tc>
        <w:tc>
          <w:tcPr/>
          <w:p>
            <w:pPr>
              <w:pStyle w:val="Compact"/>
              <w:jc w:val="left"/>
            </w:pPr>
            <w:r>
              <w:t xml:space="preserve">Telecommunication Engineer – Mid-level (10+ years experience) – Installation and cabling works</w:t>
            </w:r>
          </w:p>
        </w:tc>
        <w:tc>
          <w:tcPr/>
          <w:p>
            <w:pPr>
              <w:pStyle w:val="Compact"/>
              <w:jc w:val="left"/>
            </w:pPr>
            <w:r>
              <w:t xml:space="preserve">120</w:t>
            </w:r>
          </w:p>
        </w:tc>
        <w:tc>
          <w:tcPr/>
          <w:p>
            <w:pPr>
              <w:pStyle w:val="Compact"/>
              <w:jc w:val="left"/>
            </w:pPr>
            <w:r>
              <w:t xml:space="preserve">Man-hours</w:t>
            </w:r>
          </w:p>
        </w:tc>
        <w:tc>
          <w:tcPr/>
          <w:p>
            <w:pPr>
              <w:pStyle w:val="Compact"/>
              <w:jc w:val="left"/>
            </w:pPr>
            <w:r>
              <w:t xml:space="preserve">3,200</w:t>
            </w:r>
          </w:p>
        </w:tc>
        <w:tc>
          <w:tcPr/>
          <w:p>
            <w:pPr>
              <w:pStyle w:val="Compact"/>
              <w:jc w:val="left"/>
            </w:pPr>
            <w:r>
              <w:t xml:space="preserve">384,000</w:t>
            </w:r>
          </w:p>
        </w:tc>
      </w:tr>
      <w:tr>
        <w:tc>
          <w:tcPr/>
          <w:p>
            <w:pPr>
              <w:pStyle w:val="Compact"/>
              <w:jc w:val="left"/>
            </w:pPr>
            <w:r>
              <w:t xml:space="preserve">3</w:t>
            </w:r>
          </w:p>
        </w:tc>
        <w:tc>
          <w:tcPr/>
          <w:p>
            <w:pPr>
              <w:pStyle w:val="Compact"/>
              <w:jc w:val="left"/>
            </w:pPr>
            <w:r>
              <w:t xml:space="preserve">Telecommunication Engineer – Junior (5+ years experience) – Testing, documentation, and support</w:t>
            </w:r>
          </w:p>
        </w:tc>
        <w:tc>
          <w:tcPr/>
          <w:p>
            <w:pPr>
              <w:pStyle w:val="Compact"/>
              <w:jc w:val="left"/>
            </w:pPr>
            <w:r>
              <w:t xml:space="preserve">60</w:t>
            </w:r>
          </w:p>
        </w:tc>
        <w:tc>
          <w:tcPr/>
          <w:p>
            <w:pPr>
              <w:pStyle w:val="Compact"/>
              <w:jc w:val="left"/>
            </w:pPr>
            <w:r>
              <w:t xml:space="preserve">Man-hours</w:t>
            </w:r>
          </w:p>
        </w:tc>
        <w:tc>
          <w:tcPr/>
          <w:p>
            <w:pPr>
              <w:pStyle w:val="Compact"/>
              <w:jc w:val="left"/>
            </w:pPr>
            <w:r>
              <w:t xml:space="preserve">2,100</w:t>
            </w:r>
          </w:p>
        </w:tc>
        <w:tc>
          <w:tcPr/>
          <w:p>
            <w:pPr>
              <w:pStyle w:val="Compact"/>
              <w:jc w:val="left"/>
            </w:pPr>
            <w:r>
              <w:t xml:space="preserve">126,000</w:t>
            </w:r>
          </w:p>
        </w:tc>
      </w:tr>
      <w:tr>
        <w:tc>
          <w:tcPr/>
          <w:p>
            <w:pPr>
              <w:pStyle w:val="Compact"/>
              <w:jc w:val="left"/>
            </w:pPr>
            <w:r>
              <w:t xml:space="preserve">4</w:t>
            </w:r>
          </w:p>
        </w:tc>
        <w:tc>
          <w:tcPr/>
          <w:p>
            <w:pPr>
              <w:pStyle w:val="Compact"/>
              <w:jc w:val="left"/>
            </w:pPr>
            <w:r>
              <w:t xml:space="preserve">Fiber-optic cable (single-mode, 12-core) – Supply and installation per linear meter</w:t>
            </w:r>
          </w:p>
        </w:tc>
        <w:tc>
          <w:tcPr/>
          <w:p>
            <w:pPr>
              <w:pStyle w:val="Compact"/>
              <w:jc w:val="left"/>
            </w:pPr>
            <w:r>
              <w:t xml:space="preserve">850</w:t>
            </w:r>
          </w:p>
        </w:tc>
        <w:tc>
          <w:tcPr/>
          <w:p>
            <w:pPr>
              <w:pStyle w:val="Compact"/>
              <w:jc w:val="left"/>
            </w:pPr>
            <w:r>
              <w:t xml:space="preserve">Meters</w:t>
            </w:r>
          </w:p>
        </w:tc>
        <w:tc>
          <w:tcPr/>
          <w:p>
            <w:pPr>
              <w:pStyle w:val="Compact"/>
              <w:jc w:val="left"/>
            </w:pPr>
            <w:r>
              <w:t xml:space="preserve">1,850</w:t>
            </w:r>
          </w:p>
        </w:tc>
        <w:tc>
          <w:tcPr/>
          <w:p>
            <w:pPr>
              <w:pStyle w:val="Compact"/>
              <w:jc w:val="left"/>
            </w:pPr>
            <w:r>
              <w:t xml:space="preserve">1,572,500</w:t>
            </w:r>
          </w:p>
        </w:tc>
      </w:tr>
      <w:tr>
        <w:tc>
          <w:tcPr/>
          <w:p>
            <w:pPr>
              <w:pStyle w:val="Compact"/>
              <w:jc w:val="left"/>
            </w:pPr>
            <w:r>
              <w:t xml:space="preserve">5</w:t>
            </w:r>
          </w:p>
        </w:tc>
        <w:tc>
          <w:tcPr/>
          <w:p>
            <w:pPr>
              <w:pStyle w:val="Compact"/>
              <w:jc w:val="left"/>
            </w:pPr>
            <w:r>
              <w:t xml:space="preserve">Cat6A structured cabling – Supply and termination per point</w:t>
            </w:r>
          </w:p>
        </w:tc>
        <w:tc>
          <w:tcPr/>
          <w:p>
            <w:pPr>
              <w:pStyle w:val="Compact"/>
              <w:jc w:val="left"/>
            </w:pPr>
            <w:r>
              <w:t xml:space="preserve">240</w:t>
            </w:r>
          </w:p>
        </w:tc>
        <w:tc>
          <w:tcPr/>
          <w:p>
            <w:pPr>
              <w:pStyle w:val="Compact"/>
              <w:jc w:val="left"/>
            </w:pPr>
            <w:r>
              <w:t xml:space="preserve">Points</w:t>
            </w:r>
          </w:p>
        </w:tc>
        <w:tc>
          <w:tcPr/>
          <w:p>
            <w:pPr>
              <w:pStyle w:val="Compact"/>
              <w:jc w:val="left"/>
            </w:pPr>
            <w:r>
              <w:t xml:space="preserve">3,400</w:t>
            </w:r>
          </w:p>
        </w:tc>
        <w:tc>
          <w:tcPr/>
          <w:p>
            <w:pPr>
              <w:pStyle w:val="Compact"/>
              <w:jc w:val="left"/>
            </w:pPr>
            <w:r>
              <w:t xml:space="preserve">816,000</w:t>
            </w:r>
          </w:p>
        </w:tc>
      </w:tr>
      <w:tr>
        <w:tc>
          <w:tcPr/>
          <w:p>
            <w:pPr>
              <w:pStyle w:val="Compact"/>
              <w:jc w:val="left"/>
            </w:pPr>
            <w:r>
              <w:t xml:space="preserve">6</w:t>
            </w:r>
          </w:p>
        </w:tc>
        <w:tc>
          <w:tcPr/>
          <w:p>
            <w:pPr>
              <w:pStyle w:val="Compact"/>
              <w:jc w:val="left"/>
            </w:pPr>
            <w:r>
              <w:t xml:space="preserve">Network equipment (managed switches, patch panels, fiber enclosures) – Supply and configuration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7</w:t>
            </w:r>
          </w:p>
        </w:tc>
        <w:tc>
          <w:tcPr/>
          <w:p>
            <w:pPr>
              <w:pStyle w:val="Compact"/>
              <w:jc w:val="left"/>
            </w:pPr>
            <w:r>
              <w:t xml:space="preserve">Site access permits, Moscow city regulatory filings, and compliance documentation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8</w:t>
            </w:r>
          </w:p>
        </w:tc>
        <w:tc>
          <w:tcPr/>
          <w:p>
            <w:pPr>
              <w:pStyle w:val="Compact"/>
              <w:jc w:val="left"/>
            </w:pPr>
            <w:r>
              <w:t xml:space="preserve">Project management, scheduling, and quality assurance oversight</w:t>
            </w:r>
          </w:p>
        </w:tc>
        <w:tc>
          <w:tcPr/>
          <w:p>
            <w:pPr>
              <w:pStyle w:val="Compact"/>
              <w:jc w:val="left"/>
            </w:pPr>
            <w:r>
              <w:t xml:space="preserve">1</w:t>
            </w:r>
          </w:p>
        </w:tc>
        <w:tc>
          <w:tcPr/>
          <w:p>
            <w:pPr>
              <w:pStyle w:val="Compact"/>
              <w:jc w:val="left"/>
            </w:pPr>
            <w:r>
              <w:t xml:space="preserve">Lot</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9</w:t>
            </w:r>
          </w:p>
        </w:tc>
        <w:tc>
          <w:tcPr/>
          <w:p>
            <w:pPr>
              <w:pStyle w:val="Compact"/>
              <w:jc w:val="left"/>
            </w:pPr>
            <w:r>
              <w:t xml:space="preserve">Travel, accommodation, and local logistics within Russia Moscow for the Telecommunication Engineer team</w:t>
            </w:r>
          </w:p>
        </w:tc>
        <w:tc>
          <w:tcPr/>
          <w:p>
            <w:pPr>
              <w:pStyle w:val="Compact"/>
              <w:jc w:val="left"/>
            </w:pPr>
            <w:r>
              <w:t xml:space="preserve">1</w:t>
            </w:r>
          </w:p>
        </w:tc>
        <w:tc>
          <w:tcPr/>
          <w:p>
            <w:pPr>
              <w:pStyle w:val="Compact"/>
              <w:jc w:val="left"/>
            </w:pPr>
            <w:r>
              <w:t xml:space="preserve">Lot</w:t>
            </w:r>
          </w:p>
        </w:tc>
        <w:tc>
          <w:tcPr/>
          <w:p>
            <w:pPr>
              <w:pStyle w:val="Compact"/>
              <w:jc w:val="left"/>
            </w:pPr>
            <w:r>
              <w:t xml:space="preserve">78,000</w:t>
            </w:r>
          </w:p>
        </w:tc>
        <w:tc>
          <w:tcPr/>
          <w:p>
            <w:pPr>
              <w:pStyle w:val="Compact"/>
              <w:jc w:val="left"/>
            </w:pPr>
            <w:r>
              <w:t xml:space="preserve">78,000</w:t>
            </w:r>
          </w:p>
        </w:tc>
      </w:tr>
      <w:tr>
        <w:tc>
          <w:tcPr/>
          <w:p>
            <w:pPr>
              <w:pStyle w:val="Compact"/>
              <w:jc w:val="left"/>
            </w:pPr>
            <w:r>
              <w:t xml:space="preserve">10</w:t>
            </w:r>
          </w:p>
        </w:tc>
        <w:tc>
          <w:tcPr/>
          <w:p>
            <w:pPr>
              <w:pStyle w:val="Compact"/>
              <w:jc w:val="left"/>
            </w:pPr>
            <w:r>
              <w:t xml:space="preserve">12-month warranty and post-commissioning support by the Telecommunication Engineer</w:t>
            </w:r>
          </w:p>
        </w:tc>
        <w:tc>
          <w:tcPr/>
          <w:p>
            <w:pPr>
              <w:pStyle w:val="Compact"/>
              <w:jc w:val="left"/>
            </w:pPr>
            <w:r>
              <w:t xml:space="preserve">1</w:t>
            </w:r>
          </w:p>
        </w:tc>
        <w:tc>
          <w:tcPr/>
          <w:p>
            <w:pPr>
              <w:pStyle w:val="Compact"/>
              <w:jc w:val="left"/>
            </w:pPr>
            <w:r>
              <w:t xml:space="preserve">Lot</w:t>
            </w:r>
          </w:p>
        </w:tc>
        <w:tc>
          <w:tcPr/>
          <w:p>
            <w:pPr>
              <w:pStyle w:val="Compact"/>
              <w:jc w:val="left"/>
            </w:pPr>
            <w:r>
              <w:t xml:space="preserve">145,000</w:t>
            </w:r>
          </w:p>
        </w:tc>
        <w:tc>
          <w:tcPr/>
          <w:p>
            <w:pPr>
              <w:pStyle w:val="Compact"/>
              <w:jc w:val="left"/>
            </w:pPr>
            <w:r>
              <w:t xml:space="preserve">145,000</w:t>
            </w:r>
          </w:p>
        </w:tc>
      </w:tr>
      <w:tr>
        <w:tc>
          <w:tcPr>
            <w:gridSpan w:val="5"/>
          </w:tcPr>
          <w:p>
            <w:pPr>
              <w:pStyle w:val="Compact"/>
              <w:jc w:val="right"/>
            </w:pPr>
            <w:r>
              <w:t xml:space="preserve">Subtotal (RUB)</w:t>
            </w:r>
          </w:p>
        </w:tc>
        <w:tc>
          <w:tcPr/>
          <w:p>
            <w:pPr>
              <w:pStyle w:val="Compact"/>
              <w:jc w:val="left"/>
            </w:pPr>
            <w:r>
              <w:t xml:space="preserve">4,856,500</w:t>
            </w:r>
          </w:p>
        </w:tc>
      </w:tr>
      <w:tr>
        <w:tc>
          <w:tcPr>
            <w:gridSpan w:val="5"/>
          </w:tcPr>
          <w:p>
            <w:pPr>
              <w:pStyle w:val="Compact"/>
              <w:jc w:val="right"/>
            </w:pPr>
            <w:r>
              <w:t xml:space="preserve">VAT 20% (Russia Moscow applicable rate)</w:t>
            </w:r>
          </w:p>
        </w:tc>
        <w:tc>
          <w:tcPr/>
          <w:p>
            <w:pPr>
              <w:pStyle w:val="Compact"/>
              <w:jc w:val="left"/>
            </w:pPr>
            <w:r>
              <w:t xml:space="preserve">971,300</w:t>
            </w:r>
          </w:p>
        </w:tc>
      </w:tr>
      <w:tr>
        <w:tc>
          <w:tcPr>
            <w:gridSpan w:val="5"/>
          </w:tcPr>
          <w:p>
            <w:pPr>
              <w:pStyle w:val="Compact"/>
              <w:jc w:val="right"/>
            </w:pPr>
            <w:r>
              <w:t xml:space="preserve">GRAND TOTAL (RUB)</w:t>
            </w:r>
          </w:p>
        </w:tc>
        <w:tc>
          <w:tcPr/>
          <w:p>
            <w:pPr>
              <w:pStyle w:val="Compact"/>
              <w:jc w:val="left"/>
            </w:pPr>
            <w:r>
              <w:t xml:space="preserve">5,827,800</w:t>
            </w:r>
          </w:p>
        </w:tc>
      </w:tr>
    </w:tbl>
    <w:p>
      <w:pPr>
        <w:pStyle w:val="BodyText"/>
      </w:pPr>
      <w:r>
        <w:t xml:space="preserve">4. Payment Terms</w:t>
      </w:r>
    </w:p>
    <w:p>
      <w:pPr>
        <w:pStyle w:val="BodyText"/>
      </w:pPr>
      <w:r>
        <w:t xml:space="preserve">This</w:t>
      </w:r>
      <w:r>
        <w:t xml:space="preserve"> </w:t>
      </w:r>
      <w:r>
        <w:t xml:space="preserve">Quotation Estimate</w:t>
      </w:r>
      <w:r>
        <w:t xml:space="preserve"> </w:t>
      </w:r>
      <w:r>
        <w:t xml:space="preserve">is structured with the following payment milestones:</w:t>
      </w:r>
    </w:p>
    <w:p>
      <w:pPr>
        <w:numPr>
          <w:ilvl w:val="0"/>
          <w:numId w:val="1002"/>
        </w:numPr>
        <w:pStyle w:val="Compact"/>
      </w:pPr>
      <w:r>
        <w:rPr>
          <w:bCs/>
          <w:b/>
        </w:rPr>
        <w:t xml:space="preserve">30% Advance Payment:</w:t>
      </w:r>
      <w:r>
        <w:t xml:space="preserve"> </w:t>
      </w:r>
      <w:r>
        <w:t xml:space="preserve">Due upon signing of the contract and acceptance of this Quotation Estimate. Amount: 1,748,340 RUB.</w:t>
      </w:r>
    </w:p>
    <w:p>
      <w:pPr>
        <w:numPr>
          <w:ilvl w:val="0"/>
          <w:numId w:val="1002"/>
        </w:numPr>
        <w:pStyle w:val="Compact"/>
      </w:pPr>
      <w:r>
        <w:rPr>
          <w:bCs/>
          <w:b/>
        </w:rPr>
        <w:t xml:space="preserve">40% Progress Payment:</w:t>
      </w:r>
      <w:r>
        <w:t xml:space="preserve"> </w:t>
      </w:r>
      <w:r>
        <w:t xml:space="preserve">Due upon completion of all cabling installation and equipment supply in Russia Moscow. Amount: 2,331,120 RUB.</w:t>
      </w:r>
    </w:p>
    <w:p>
      <w:pPr>
        <w:numPr>
          <w:ilvl w:val="0"/>
          <w:numId w:val="1002"/>
        </w:numPr>
        <w:pStyle w:val="Compact"/>
      </w:pPr>
      <w:r>
        <w:rPr>
          <w:bCs/>
          <w:b/>
        </w:rPr>
        <w:t xml:space="preserve">25% Completion Payment:</w:t>
      </w:r>
      <w:r>
        <w:t xml:space="preserve"> </w:t>
      </w:r>
      <w:r>
        <w:t xml:space="preserve">Due upon successful commissioning, testing, and handover of the telecommunication system. Amount: 1,456,950 RUB.</w:t>
      </w:r>
    </w:p>
    <w:p>
      <w:pPr>
        <w:numPr>
          <w:ilvl w:val="0"/>
          <w:numId w:val="1002"/>
        </w:numPr>
        <w:pStyle w:val="Compact"/>
      </w:pPr>
      <w:r>
        <w:rPr>
          <w:bCs/>
          <w:b/>
        </w:rPr>
        <w:t xml:space="preserve">5% Retention:</w:t>
      </w:r>
      <w:r>
        <w:t xml:space="preserve"> </w:t>
      </w:r>
      <w:r>
        <w:t xml:space="preserve">Released 90 days after final acceptance, subject to no outstanding defects. Amount: 291,390 RUB.</w:t>
      </w:r>
    </w:p>
    <w:p>
      <w:pPr>
        <w:pStyle w:val="FirstParagraph"/>
      </w:pPr>
      <w:r>
        <w:t xml:space="preserve">5. Terms and Conditions</w:t>
      </w:r>
    </w:p>
    <w:p>
      <w:pPr>
        <w:numPr>
          <w:ilvl w:val="0"/>
          <w:numId w:val="1003"/>
        </w:numPr>
        <w:pStyle w:val="Compact"/>
      </w:pPr>
      <w:r>
        <w:t xml:space="preserve">This Quotation Estimate is valid for 30 calendar days from the date of issue. After the expiry date, all prices are subject to revision due to market fluctuations in telecommunication materials and labor costs in Russia Moscow.</w:t>
      </w:r>
    </w:p>
    <w:p>
      <w:pPr>
        <w:numPr>
          <w:ilvl w:val="0"/>
          <w:numId w:val="1003"/>
        </w:numPr>
        <w:pStyle w:val="Compact"/>
      </w:pPr>
      <w:r>
        <w:t xml:space="preserve">All prices are quoted in Russian Rubles (RUB) and include applicable VAT at the current rate of 20% as per the Tax Code of the Russian Federation.</w:t>
      </w:r>
    </w:p>
    <w:p>
      <w:pPr>
        <w:numPr>
          <w:ilvl w:val="0"/>
          <w:numId w:val="1003"/>
        </w:numPr>
        <w:pStyle w:val="Compact"/>
      </w:pPr>
      <w:r>
        <w:t xml:space="preserve">The Telecommunication Engineer team will comply with all occupational health and safety regulations applicable in Russia Moscow, including but not limited to the Labor Code of the Russian Federation and local Moscow municipal safety ordinances.</w:t>
      </w:r>
    </w:p>
    <w:p>
      <w:pPr>
        <w:numPr>
          <w:ilvl w:val="0"/>
          <w:numId w:val="1003"/>
        </w:numPr>
        <w:pStyle w:val="Compact"/>
      </w:pPr>
      <w:r>
        <w:t xml:space="preserve">Any changes to the scope of work must be documented in a formal Change Order signed by both parties. The Quotation Estimate will be amended accordingly.</w:t>
      </w:r>
    </w:p>
    <w:p>
      <w:pPr>
        <w:numPr>
          <w:ilvl w:val="0"/>
          <w:numId w:val="1003"/>
        </w:numPr>
        <w:pStyle w:val="Compact"/>
      </w:pPr>
      <w:r>
        <w:t xml:space="preserve">Intellectual property rights to all design documents, network schematics, and engineering drawings produced by the Telecommunication Engineer shall transfer to the client upon full payment.</w:t>
      </w:r>
    </w:p>
    <w:p>
      <w:pPr>
        <w:numPr>
          <w:ilvl w:val="0"/>
          <w:numId w:val="1003"/>
        </w:numPr>
        <w:pStyle w:val="Compact"/>
      </w:pPr>
      <w:r>
        <w:t xml:space="preserve">Disputes arising from this Quotation Estimate or the resulting contract shall be resolved in accordance with the arbitration rules of the Moscow Arbitration Court.</w:t>
      </w:r>
    </w:p>
    <w:p>
      <w:pPr>
        <w:numPr>
          <w:ilvl w:val="0"/>
          <w:numId w:val="1003"/>
        </w:numPr>
        <w:pStyle w:val="Compact"/>
      </w:pPr>
      <w:r>
        <w:t xml:space="preserve">The Telecommunication Engineer guarantees that all work will be performed in accordance with the latest editions of GOST, ROSTU standards, and the technical regulations of the Ministry of Digital Development, Communications and Mass Media of the Russian Federation.</w:t>
      </w:r>
    </w:p>
    <w:p>
      <w:pPr>
        <w:pStyle w:val="FirstParagraph"/>
      </w:pPr>
      <w:r>
        <w:t xml:space="preserve">6.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Telecommunication Engineer</w:t>
      </w:r>
      <w:r>
        <w:t xml:space="preserve"> </w:t>
      </w:r>
      <w:r>
        <w:t xml:space="preserve">services in</w:t>
      </w:r>
      <w:r>
        <w:t xml:space="preserve"> </w:t>
      </w:r>
      <w:r>
        <w:t xml:space="preserve">Russia Moscow</w:t>
      </w:r>
      <w:r>
        <w:t xml:space="preserve">.</w:t>
      </w:r>
    </w:p>
    <w:p>
      <w:pPr>
        <w:pStyle w:val="BodyText"/>
      </w:pPr>
      <w:r>
        <w:rPr>
          <w:bCs/>
          <w:b/>
        </w:rPr>
        <w:t xml:space="preserve">For and on behalf of TechCom Solutions LLC:</w:t>
      </w:r>
    </w:p>
    <w:p>
      <w:pPr>
        <w:pStyle w:val="BodyText"/>
      </w:pPr>
      <w:r>
        <w:t xml:space="preserve">_______________________________</w:t>
      </w:r>
    </w:p>
    <w:p>
      <w:pPr>
        <w:pStyle w:val="BodyText"/>
      </w:pPr>
      <w:r>
        <w:t xml:space="preserve">Name: Alexei V. Petrov</w:t>
      </w:r>
    </w:p>
    <w:p>
      <w:pPr>
        <w:pStyle w:val="BodyText"/>
      </w:pPr>
      <w:r>
        <w:t xml:space="preserve">Title: Chief Estimation Officer</w:t>
      </w:r>
    </w:p>
    <w:p>
      <w:pPr>
        <w:pStyle w:val="BodyText"/>
      </w:pPr>
      <w:r>
        <w:t xml:space="preserve">Date: _______________</w:t>
      </w:r>
    </w:p>
    <w:p>
      <w:pPr>
        <w:pStyle w:val="BodyText"/>
      </w:pPr>
      <w:r>
        <w:rPr>
          <w:bCs/>
          <w:b/>
        </w:rPr>
        <w:t xml:space="preserve">For and on behalf of the Client:</w:t>
      </w:r>
    </w:p>
    <w:p>
      <w:pPr>
        <w:pStyle w:val="BodyText"/>
      </w:pPr>
      <w:r>
        <w:t xml:space="preserve">_______________________________</w:t>
      </w:r>
    </w:p>
    <w:p>
      <w:pPr>
        <w:pStyle w:val="BodyText"/>
      </w:pPr>
      <w:r>
        <w:t xml:space="preserve">Name: _________________________</w:t>
      </w:r>
    </w:p>
    <w:p>
      <w:pPr>
        <w:pStyle w:val="BodyText"/>
      </w:pPr>
      <w:r>
        <w:t xml:space="preserve">Title: _________________________</w:t>
      </w:r>
    </w:p>
    <w:p>
      <w:pPr>
        <w:pStyle w:val="BodyText"/>
      </w:pPr>
      <w:r>
        <w:t xml:space="preserve">Date: _______________</w:t>
      </w:r>
    </w:p>
    <w:p>
      <w:pPr>
        <w:pStyle w:val="BodyText"/>
      </w:pPr>
      <w:r>
        <w:t xml:space="preserve">Quotation Estimate No. QE-2025-0784-RM | TechCom Solutions LLC | Moscow, Russian Federation</w:t>
      </w:r>
    </w:p>
    <w:p>
      <w:pPr>
        <w:pStyle w:val="BodyText"/>
      </w:pPr>
      <w:r>
        <w:t xml:space="preserve">This document is confidential and intended solely for the named client. Unauthorized reproduction or distribution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 Russia Moscow</dc:title>
  <dc:creator/>
  <dc:language>en</dc:language>
  <cp:keywords/>
  <dcterms:created xsi:type="dcterms:W3CDTF">2026-10-10T05:48:16Z</dcterms:created>
  <dcterms:modified xsi:type="dcterms:W3CDTF">2026-10-10T05:48:16Z</dcterms:modified>
</cp:coreProperties>
</file>

<file path=docProps/custom.xml><?xml version="1.0" encoding="utf-8"?>
<Properties xmlns="http://schemas.openxmlformats.org/officeDocument/2006/custom-properties" xmlns:vt="http://schemas.openxmlformats.org/officeDocument/2006/docPropsVTypes"/>
</file>