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rPr>
          <w:bCs/>
          <w:b/>
        </w:rPr>
        <w:t xml:space="preserve">Telecommunication Engineer Services</w:t>
      </w:r>
    </w:p>
    <w:p>
      <w:pPr>
        <w:pStyle w:val="BodyText"/>
      </w:pPr>
      <w:r>
        <w:t xml:space="preserve">Professional Network Infrastructure &amp; Telecommunications Solutions</w:t>
      </w:r>
    </w:p>
    <w:p>
      <w:pPr>
        <w:pStyle w:val="BodyText"/>
      </w:pPr>
      <w:r>
        <w:t xml:space="preserve">Operational Base: Spain Valencia | C/ Colón 42, 46004 Valencia, España</w:t>
      </w:r>
    </w:p>
    <w:bookmarkEnd w:id="20"/>
    <w:p>
      <w:pPr>
        <w:pStyle w:val="BodyText"/>
      </w:pPr>
      <w:r>
        <w:rPr>
          <w:bCs/>
          <w:b/>
        </w:rPr>
        <w:t xml:space="preserve">Quotation No.:</w:t>
      </w:r>
      <w:r>
        <w:t xml:space="preserve"> </w:t>
      </w:r>
      <w:r>
        <w:t xml:space="preserve">QTE-2025-VAL-00847</w:t>
      </w:r>
      <w:r>
        <w:br/>
      </w:r>
      <w:r>
        <w:rPr>
          <w:bCs/>
          <w:b/>
        </w:rPr>
        <w:t xml:space="preserve">Date Issued:</w:t>
      </w:r>
      <w:r>
        <w:t xml:space="preserve"> </w:t>
      </w:r>
      <w:r>
        <w:t xml:space="preserve">14 June 2025</w:t>
      </w:r>
    </w:p>
    <w:p>
      <w:pPr>
        <w:pStyle w:val="BodyText"/>
      </w:pPr>
      <w:r>
        <w:rPr>
          <w:bCs/>
          <w:b/>
        </w:rPr>
        <w:t xml:space="preserve">Valid Until:</w:t>
      </w:r>
      <w:r>
        <w:t xml:space="preserve"> </w:t>
      </w:r>
      <w:r>
        <w:t xml:space="preserve">14 September 2025</w:t>
      </w:r>
      <w:r>
        <w:br/>
      </w:r>
      <w:r>
        <w:rPr>
          <w:bCs/>
          <w:b/>
        </w:rPr>
        <w:t xml:space="preserve">Prepared For:</w:t>
      </w:r>
      <w:r>
        <w:t xml:space="preserve"> </w:t>
      </w:r>
      <w:r>
        <w:t xml:space="preserve">[Client Name / Company]</w:t>
      </w:r>
    </w:p>
    <w:p>
      <w:pPr>
        <w:pStyle w:val="BodyText"/>
      </w:pPr>
      <w:r>
        <w:rPr>
          <w:bCs/>
          <w:b/>
        </w:rPr>
        <w:t xml:space="preserve">Project Location:</w:t>
      </w:r>
      <w:r>
        <w:t xml:space="preserve"> </w:t>
      </w:r>
      <w:r>
        <w:t xml:space="preserve">Spain Valencia</w:t>
      </w:r>
      <w:r>
        <w:br/>
      </w:r>
      <w:r>
        <w:rPr>
          <w:bCs/>
          <w:b/>
        </w:rPr>
        <w:t xml:space="preserve">Reference:</w:t>
      </w:r>
      <w:r>
        <w:t xml:space="preserve"> </w:t>
      </w:r>
      <w:r>
        <w:t xml:space="preserve">TCE-VAL-2025-06</w:t>
      </w:r>
    </w:p>
    <w:bookmarkStart w:id="21" w:name="Xe532c59dfae952c7b294537f0870e379934ad70"/>
    <w:p>
      <w:pPr>
        <w:pStyle w:val="Heading2"/>
      </w:pPr>
      <w:r>
        <w:t xml:space="preserve">1. Introduction &amp; Purpose of This Quotation Estimate</w:t>
      </w:r>
    </w:p>
    <w:p>
      <w:pPr>
        <w:pStyle w:val="FirstParagraph"/>
      </w:pPr>
      <w:r>
        <w:t xml:space="preserve">This</w:t>
      </w:r>
      <w:r>
        <w:t xml:space="preserve"> </w:t>
      </w:r>
      <w:r>
        <w:t xml:space="preserve">Quotation Estimate</w:t>
      </w:r>
      <w:r>
        <w:t xml:space="preserve"> </w:t>
      </w:r>
      <w:r>
        <w:t xml:space="preserve">document has been prepared by our certified</w:t>
      </w:r>
      <w:r>
        <w:t xml:space="preserve"> </w:t>
      </w:r>
      <w:r>
        <w:t xml:space="preserve">Telecommunication Engineer</w:t>
      </w:r>
      <w:r>
        <w:t xml:space="preserve"> </w:t>
      </w:r>
      <w:r>
        <w:t xml:space="preserve">team to provide a comprehensive and transparent breakdown of all professional services, materials, and labour required for the telecommunications infrastructure project located in</w:t>
      </w:r>
      <w:r>
        <w:t xml:space="preserve"> </w:t>
      </w:r>
      <w:r>
        <w:t xml:space="preserve">Spain Valencia</w:t>
      </w:r>
      <w:r>
        <w:t xml:space="preserve">. This estimate serves as a formal proposal outlining the scope of work, associated costs, timelines, and contractual terms governing the engagement. All pricing reflected in this</w:t>
      </w:r>
      <w:r>
        <w:t xml:space="preserve"> </w:t>
      </w:r>
      <w:r>
        <w:t xml:space="preserve">Quotation Estimate</w:t>
      </w:r>
      <w:r>
        <w:t xml:space="preserve"> </w:t>
      </w:r>
      <w:r>
        <w:t xml:space="preserve">is based on current market rates applicable to the Valencia metropolitan area and complies with the regulatory framework established by the Spanish Telecommunications Law (Ley General de Telecomunicaciones) and the European Electronic Communications Code.</w:t>
      </w:r>
    </w:p>
    <w:bookmarkEnd w:id="21"/>
    <w:bookmarkStart w:id="22" w:name="X95067ef301e04c13d50963faee2dec0659d7053"/>
    <w:p>
      <w:pPr>
        <w:pStyle w:val="Heading2"/>
      </w:pPr>
      <w:r>
        <w:t xml:space="preserve">2. Scope of Work – Telecommunication Engineer Services</w:t>
      </w:r>
    </w:p>
    <w:p>
      <w:pPr>
        <w:pStyle w:val="FirstParagraph"/>
      </w:pPr>
      <w:r>
        <w:t xml:space="preserve">Our</w:t>
      </w:r>
      <w:r>
        <w:t xml:space="preserve"> </w:t>
      </w:r>
      <w:r>
        <w:t xml:space="preserve">Telecommunication Engineer</w:t>
      </w:r>
      <w:r>
        <w:t xml:space="preserve"> </w:t>
      </w:r>
      <w:r>
        <w:t xml:space="preserve">division will deliver the following services for the client's premises in</w:t>
      </w:r>
      <w:r>
        <w:t xml:space="preserve"> </w:t>
      </w:r>
      <w:r>
        <w:t xml:space="preserve">Spain Valencia</w:t>
      </w:r>
      <w:r>
        <w:t xml:space="preserve">. The project encompasses the design, installation, testing, and commissioning of a complete telecommunications network infrastructure, including but not limited to structured cabling, fibre-optic backbone deployment, wireless access point configuration, VoIP telephony integration, and network security hardening. The</w:t>
      </w:r>
      <w:r>
        <w:t xml:space="preserve"> </w:t>
      </w:r>
      <w:r>
        <w:t xml:space="preserve">Telecommunication Engineer</w:t>
      </w:r>
      <w:r>
        <w:t xml:space="preserve"> </w:t>
      </w:r>
      <w:r>
        <w:t xml:space="preserve">assigned to this project holds a degree in Telecommunications Engineering (Ingeniería de Telecomunicaciones) from the Universitat Politècnica de València and possesses over twelve years of field experience in commercial and industrial installations across the Comunitat Valenciana region.</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Site survey and network topology design by senior Telecommunication Engineer in Spain Valencia</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3 days</w:t>
            </w:r>
          </w:p>
        </w:tc>
      </w:tr>
      <w:tr>
        <w:tc>
          <w:tcPr/>
          <w:p>
            <w:pPr>
              <w:pStyle w:val="Compact"/>
              <w:jc w:val="left"/>
            </w:pPr>
            <w:r>
              <w:t xml:space="preserve">02</w:t>
            </w:r>
          </w:p>
        </w:tc>
        <w:tc>
          <w:tcPr/>
          <w:p>
            <w:pPr>
              <w:pStyle w:val="Compact"/>
              <w:jc w:val="left"/>
            </w:pPr>
            <w:r>
              <w:t xml:space="preserve">Structured copper cabling (Cat 6A) – design, routing, termination, and labelling</w:t>
            </w:r>
          </w:p>
        </w:tc>
        <w:tc>
          <w:tcPr/>
          <w:p>
            <w:pPr>
              <w:pStyle w:val="Compact"/>
              <w:jc w:val="left"/>
            </w:pPr>
            <w:r>
              <w:t xml:space="preserve">120</w:t>
            </w:r>
          </w:p>
        </w:tc>
        <w:tc>
          <w:tcPr/>
          <w:p>
            <w:pPr>
              <w:pStyle w:val="Compact"/>
              <w:jc w:val="left"/>
            </w:pPr>
            <w:r>
              <w:t xml:space="preserve">45.00</w:t>
            </w:r>
          </w:p>
        </w:tc>
        <w:tc>
          <w:tcPr/>
          <w:p>
            <w:pPr>
              <w:pStyle w:val="Compact"/>
              <w:jc w:val="left"/>
            </w:pPr>
            <w:r>
              <w:t xml:space="preserve">5,400.00</w:t>
            </w:r>
          </w:p>
        </w:tc>
        <w:tc>
          <w:tcPr/>
          <w:p>
            <w:pPr>
              <w:pStyle w:val="Compact"/>
              <w:jc w:val="left"/>
            </w:pPr>
            <w:r>
              <w:t xml:space="preserve">10 days</w:t>
            </w:r>
          </w:p>
        </w:tc>
      </w:tr>
      <w:tr>
        <w:tc>
          <w:tcPr/>
          <w:p>
            <w:pPr>
              <w:pStyle w:val="Compact"/>
              <w:jc w:val="left"/>
            </w:pPr>
            <w:r>
              <w:t xml:space="preserve">03</w:t>
            </w:r>
          </w:p>
        </w:tc>
        <w:tc>
          <w:tcPr/>
          <w:p>
            <w:pPr>
              <w:pStyle w:val="Compact"/>
              <w:jc w:val="left"/>
            </w:pPr>
            <w:r>
              <w:t xml:space="preserve">Single-mode fibre-optic backbone installation (OM4) with splicing and OTDR testing</w:t>
            </w:r>
          </w:p>
        </w:tc>
        <w:tc>
          <w:tcPr/>
          <w:p>
            <w:pPr>
              <w:pStyle w:val="Compact"/>
              <w:jc w:val="left"/>
            </w:pPr>
            <w:r>
              <w:t xml:space="preserve">2</w:t>
            </w:r>
          </w:p>
        </w:tc>
        <w:tc>
          <w:tcPr/>
          <w:p>
            <w:pPr>
              <w:pStyle w:val="Compact"/>
              <w:jc w:val="left"/>
            </w:pPr>
            <w:r>
              <w:t xml:space="preserve">3,800.00</w:t>
            </w:r>
          </w:p>
        </w:tc>
        <w:tc>
          <w:tcPr/>
          <w:p>
            <w:pPr>
              <w:pStyle w:val="Compact"/>
              <w:jc w:val="left"/>
            </w:pPr>
            <w:r>
              <w:t xml:space="preserve">7,600.00</w:t>
            </w:r>
          </w:p>
        </w:tc>
        <w:tc>
          <w:tcPr/>
          <w:p>
            <w:pPr>
              <w:pStyle w:val="Compact"/>
              <w:jc w:val="left"/>
            </w:pPr>
            <w:r>
              <w:t xml:space="preserve">7 days</w:t>
            </w:r>
          </w:p>
        </w:tc>
      </w:tr>
      <w:tr>
        <w:tc>
          <w:tcPr/>
          <w:p>
            <w:pPr>
              <w:pStyle w:val="Compact"/>
              <w:jc w:val="left"/>
            </w:pPr>
            <w:r>
              <w:t xml:space="preserve">04</w:t>
            </w:r>
          </w:p>
        </w:tc>
        <w:tc>
          <w:tcPr/>
          <w:p>
            <w:pPr>
              <w:pStyle w:val="Compact"/>
              <w:jc w:val="left"/>
            </w:pPr>
            <w:r>
              <w:t xml:space="preserve">Enterprise-grade wireless access point deployment (Wi-Fi 6E) – 24 units including site-specific RF planning</w:t>
            </w:r>
          </w:p>
        </w:tc>
        <w:tc>
          <w:tcPr/>
          <w:p>
            <w:pPr>
              <w:pStyle w:val="Compact"/>
              <w:jc w:val="left"/>
            </w:pPr>
            <w:r>
              <w:t xml:space="preserve">24</w:t>
            </w:r>
          </w:p>
        </w:tc>
        <w:tc>
          <w:tcPr/>
          <w:p>
            <w:pPr>
              <w:pStyle w:val="Compact"/>
              <w:jc w:val="left"/>
            </w:pPr>
            <w:r>
              <w:t xml:space="preserve">680.00</w:t>
            </w:r>
          </w:p>
        </w:tc>
        <w:tc>
          <w:tcPr/>
          <w:p>
            <w:pPr>
              <w:pStyle w:val="Compact"/>
              <w:jc w:val="left"/>
            </w:pPr>
            <w:r>
              <w:t xml:space="preserve">16,320.00</w:t>
            </w:r>
          </w:p>
        </w:tc>
        <w:tc>
          <w:tcPr/>
          <w:p>
            <w:pPr>
              <w:pStyle w:val="Compact"/>
              <w:jc w:val="left"/>
            </w:pPr>
            <w:r>
              <w:t xml:space="preserve">8 days</w:t>
            </w:r>
          </w:p>
        </w:tc>
      </w:tr>
      <w:tr>
        <w:tc>
          <w:tcPr/>
          <w:p>
            <w:pPr>
              <w:pStyle w:val="Compact"/>
              <w:jc w:val="left"/>
            </w:pPr>
            <w:r>
              <w:t xml:space="preserve">05</w:t>
            </w:r>
          </w:p>
        </w:tc>
        <w:tc>
          <w:tcPr/>
          <w:p>
            <w:pPr>
              <w:pStyle w:val="Compact"/>
              <w:jc w:val="left"/>
            </w:pPr>
            <w:r>
              <w:t xml:space="preserve">VoIP telephony system configuration, SIP trunk provisioning, and endpoint programming</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5 days</w:t>
            </w:r>
          </w:p>
        </w:tc>
      </w:tr>
      <w:tr>
        <w:tc>
          <w:tcPr/>
          <w:p>
            <w:pPr>
              <w:pStyle w:val="Compact"/>
              <w:jc w:val="left"/>
            </w:pPr>
            <w:r>
              <w:t xml:space="preserve">06</w:t>
            </w:r>
          </w:p>
        </w:tc>
        <w:tc>
          <w:tcPr/>
          <w:p>
            <w:pPr>
              <w:pStyle w:val="Compact"/>
              <w:jc w:val="left"/>
            </w:pPr>
            <w:r>
              <w:t xml:space="preserve">Network security implementation – firewall rules, VLAN segmentation, IDS/IPS integration</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4 days</w:t>
            </w:r>
          </w:p>
        </w:tc>
      </w:tr>
      <w:tr>
        <w:tc>
          <w:tcPr/>
          <w:p>
            <w:pPr>
              <w:pStyle w:val="Compact"/>
              <w:jc w:val="left"/>
            </w:pPr>
            <w:r>
              <w:t xml:space="preserve">07</w:t>
            </w:r>
          </w:p>
        </w:tc>
        <w:tc>
          <w:tcPr/>
          <w:p>
            <w:pPr>
              <w:pStyle w:val="Compact"/>
              <w:jc w:val="left"/>
            </w:pPr>
            <w:r>
              <w:t xml:space="preserve">End-to-end system testing, performance benchmarking, and certification documentation</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3 days</w:t>
            </w:r>
          </w:p>
        </w:tc>
      </w:tr>
      <w:tr>
        <w:tc>
          <w:tcPr/>
          <w:p>
            <w:pPr>
              <w:pStyle w:val="Compact"/>
              <w:jc w:val="left"/>
            </w:pPr>
            <w:r>
              <w:t xml:space="preserve">08</w:t>
            </w:r>
          </w:p>
        </w:tc>
        <w:tc>
          <w:tcPr/>
          <w:p>
            <w:pPr>
              <w:pStyle w:val="Compact"/>
              <w:jc w:val="left"/>
            </w:pPr>
            <w:r>
              <w:t xml:space="preserve">Project management, regulatory compliance reporting (Spain Valencia municipal permits), and final handover</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5 days</w:t>
            </w:r>
          </w:p>
        </w:tc>
      </w:tr>
      <w:tr>
        <w:tc>
          <w:tcPr>
            <w:gridSpan w:val="4"/>
          </w:tcPr>
          <w:p>
            <w:pPr>
              <w:pStyle w:val="Compact"/>
              <w:jc w:val="left"/>
            </w:pPr>
            <w:r>
              <w:t xml:space="preserve">Subtotal (Excluding VAT)</w:t>
            </w:r>
          </w:p>
        </w:tc>
        <w:tc>
          <w:tcPr/>
          <w:p>
            <w:pPr>
              <w:pStyle w:val="Compact"/>
              <w:jc w:val="left"/>
            </w:pPr>
            <w:r>
              <w:t xml:space="preserve">43,420.00</w:t>
            </w:r>
          </w:p>
        </w:tc>
        <w:tc>
          <w:tcPr/>
          <w:p>
            <w:pPr>
              <w:pStyle w:val="Compact"/>
              <w:jc w:val="left"/>
            </w:pPr>
            <w:r>
              <w:t xml:space="preserve">—</w:t>
            </w:r>
          </w:p>
        </w:tc>
      </w:tr>
      <w:tr>
        <w:tc>
          <w:tcPr>
            <w:gridSpan w:val="4"/>
          </w:tcPr>
          <w:p>
            <w:pPr>
              <w:pStyle w:val="Compact"/>
              <w:jc w:val="left"/>
            </w:pPr>
            <w:r>
              <w:t xml:space="preserve">VAT (IVA) – 21% (Spain)</w:t>
            </w:r>
          </w:p>
        </w:tc>
        <w:tc>
          <w:tcPr/>
          <w:p>
            <w:pPr>
              <w:pStyle w:val="Compact"/>
              <w:jc w:val="left"/>
            </w:pPr>
            <w:r>
              <w:t xml:space="preserve">9,118.20</w:t>
            </w:r>
          </w:p>
        </w:tc>
        <w:tc>
          <w:tcPr/>
          <w:p>
            <w:pPr>
              <w:pStyle w:val="Compact"/>
              <w:jc w:val="left"/>
            </w:pPr>
            <w:r>
              <w:t xml:space="preserve">—</w:t>
            </w:r>
          </w:p>
        </w:tc>
      </w:tr>
      <w:tr>
        <w:tc>
          <w:tcPr>
            <w:gridSpan w:val="4"/>
          </w:tcPr>
          <w:p>
            <w:pPr>
              <w:pStyle w:val="Compact"/>
              <w:jc w:val="left"/>
            </w:pPr>
            <w:r>
              <w:t xml:space="preserve">GRAND TOTAL (Including VAT)</w:t>
            </w:r>
          </w:p>
        </w:tc>
        <w:tc>
          <w:tcPr/>
          <w:p>
            <w:pPr>
              <w:pStyle w:val="Compact"/>
              <w:jc w:val="left"/>
            </w:pPr>
            <w:r>
              <w:t xml:space="preserve">52,538.20</w:t>
            </w:r>
          </w:p>
        </w:tc>
        <w:tc>
          <w:tcPr/>
          <w:p>
            <w:pPr>
              <w:pStyle w:val="Compact"/>
              <w:jc w:val="left"/>
            </w:pPr>
            <w:r>
              <w:t xml:space="preserve">—</w:t>
            </w:r>
          </w:p>
        </w:tc>
      </w:tr>
    </w:tbl>
    <w:bookmarkEnd w:id="23"/>
    <w:bookmarkStart w:id="24" w:name="project-timeline-milestones"/>
    <w:p>
      <w:pPr>
        <w:pStyle w:val="Heading2"/>
      </w:pPr>
      <w:r>
        <w:t xml:space="preserve">4. Project Timeline &amp; Milestones</w:t>
      </w:r>
    </w:p>
    <w:p>
      <w:pPr>
        <w:pStyle w:val="FirstParagraph"/>
      </w:pPr>
      <w:r>
        <w:t xml:space="preserve">The total estimated duration for this</w:t>
      </w:r>
      <w:r>
        <w:t xml:space="preserve"> </w:t>
      </w:r>
      <w:r>
        <w:t xml:space="preserve">Telecommunication Engineer</w:t>
      </w:r>
      <w:r>
        <w:t xml:space="preserve"> </w:t>
      </w:r>
      <w:r>
        <w:t xml:space="preserve">engagement in</w:t>
      </w:r>
      <w:r>
        <w:t xml:space="preserve"> </w:t>
      </w:r>
      <w:r>
        <w:t xml:space="preserve">Spain Valencia</w:t>
      </w:r>
      <w:r>
        <w:t xml:space="preserve"> </w:t>
      </w:r>
      <w:r>
        <w:t xml:space="preserve">is approximately</w:t>
      </w:r>
      <w:r>
        <w:t xml:space="preserve"> </w:t>
      </w:r>
      <w:r>
        <w:rPr>
          <w:bCs/>
          <w:b/>
        </w:rPr>
        <w:t xml:space="preserve">45 working days</w:t>
      </w:r>
      <w:r>
        <w:t xml:space="preserve"> </w:t>
      </w:r>
      <w:r>
        <w:t xml:space="preserve">from the date of contract signature. The project will be executed in four phases: (Phase 1) Design and permitting – 10 days; (Phase 2) Physical infrastructure installation – 20 days; (Phase 3) System configuration and integration – 10 days; (Phase 4) Testing, certification, and handover – 5 days. All milestones will be tracked and reported to the client on a weekly basis. Any delays attributable to third-party suppliers or municipal authority processing in the Valencia region will be communicated promptly and excluded from the contractor's liability.</w:t>
      </w:r>
    </w:p>
    <w:bookmarkEnd w:id="24"/>
    <w:bookmarkStart w:id="25" w:name="X985eb999f0cfcda5f1af1a675bf0b7c2e0a6c64"/>
    <w:p>
      <w:pPr>
        <w:pStyle w:val="Heading2"/>
      </w:pPr>
      <w:r>
        <w:t xml:space="preserve">5.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a period of ninety (90) calendar days from the date of issue. Beyond this period, all prices are subject to revision due to material cost fluctuations and labour market conditions in</w:t>
      </w:r>
      <w:r>
        <w:t xml:space="preserve"> </w:t>
      </w:r>
      <w:r>
        <w:t xml:space="preserve">Spain Valencia</w:t>
      </w:r>
      <w:r>
        <w:t xml:space="preserve">.</w:t>
      </w:r>
    </w:p>
    <w:p>
      <w:pPr>
        <w:numPr>
          <w:ilvl w:val="0"/>
          <w:numId w:val="1001"/>
        </w:numPr>
        <w:pStyle w:val="Compact"/>
      </w:pPr>
      <w:r>
        <w:rPr>
          <w:bCs/>
          <w:b/>
        </w:rPr>
        <w:t xml:space="preserve">Payment Schedule:</w:t>
      </w:r>
      <w:r>
        <w:t xml:space="preserve"> </w:t>
      </w:r>
      <w:r>
        <w:t xml:space="preserve">30% advance payment upon contract execution; 40% upon completion of Phase 2 (physical installation); 30% upon final acceptance and delivery of as-built documentation. All payments are due within fifteen (15) business days of invoice date.</w:t>
      </w:r>
    </w:p>
    <w:p>
      <w:pPr>
        <w:numPr>
          <w:ilvl w:val="0"/>
          <w:numId w:val="1001"/>
        </w:numPr>
        <w:pStyle w:val="Compact"/>
      </w:pPr>
      <w:r>
        <w:rPr>
          <w:bCs/>
          <w:b/>
        </w:rPr>
        <w:t xml:space="preserve">Warranty:</w:t>
      </w:r>
      <w:r>
        <w:t xml:space="preserve"> </w:t>
      </w:r>
      <w:r>
        <w:t xml:space="preserve">The</w:t>
      </w:r>
      <w:r>
        <w:t xml:space="preserve"> </w:t>
      </w:r>
      <w:r>
        <w:t xml:space="preserve">Telecommunication Engineer</w:t>
      </w:r>
      <w:r>
        <w:t xml:space="preserve"> </w:t>
      </w:r>
      <w:r>
        <w:t xml:space="preserve">team provides a comprehensive twenty-four (24) month warranty on all installed equipment and workmanship. This warranty covers defects in materials and installation but does not extend to damage caused by misuse, unauthorised modifications, or force majeure events.</w:t>
      </w:r>
    </w:p>
    <w:p>
      <w:pPr>
        <w:numPr>
          <w:ilvl w:val="0"/>
          <w:numId w:val="1001"/>
        </w:numPr>
        <w:pStyle w:val="Compact"/>
      </w:pPr>
      <w:r>
        <w:rPr>
          <w:bCs/>
          <w:b/>
        </w:rPr>
        <w:t xml:space="preserve">Regulatory Compliance:</w:t>
      </w:r>
      <w:r>
        <w:t xml:space="preserve"> </w:t>
      </w:r>
      <w:r>
        <w:t xml:space="preserve">All works will comply with the Spanish Royal Decree 1942/1993 on electrical installations, the UNE-EN 50174 standard for data centre cabling, and all applicable municipal regulations of the Ajuntament de València. The</w:t>
      </w:r>
      <w:r>
        <w:t xml:space="preserve"> </w:t>
      </w:r>
      <w:r>
        <w:t xml:space="preserve">Telecommunication Engineer</w:t>
      </w:r>
      <w:r>
        <w:t xml:space="preserve"> </w:t>
      </w:r>
      <w:r>
        <w:t xml:space="preserve">will ensure all necessary permits and notifications are filed with the relevant authorities in</w:t>
      </w:r>
      <w:r>
        <w:t xml:space="preserve"> </w:t>
      </w:r>
      <w:r>
        <w:t xml:space="preserve">Spain Valencia</w:t>
      </w:r>
      <w:r>
        <w:t xml:space="preserve"> </w:t>
      </w:r>
      <w:r>
        <w:t xml:space="preserve">prior to commencement of works.</w:t>
      </w:r>
    </w:p>
    <w:p>
      <w:pPr>
        <w:numPr>
          <w:ilvl w:val="0"/>
          <w:numId w:val="1001"/>
        </w:numPr>
        <w:pStyle w:val="Compact"/>
      </w:pPr>
      <w:r>
        <w:rPr>
          <w:bCs/>
          <w:b/>
        </w:rPr>
        <w:t xml:space="preserve">Insurance:</w:t>
      </w:r>
      <w:r>
        <w:t xml:space="preserve"> </w:t>
      </w:r>
      <w:r>
        <w:t xml:space="preserve">The contractor maintains full professional indemnity insurance (minimum €2,000,000) and public liability insurance covering all personnel and activities performed within the project site in</w:t>
      </w:r>
      <w:r>
        <w:t xml:space="preserve"> </w:t>
      </w:r>
      <w:r>
        <w:t xml:space="preserve">Spain Valencia</w:t>
      </w:r>
      <w:r>
        <w:t xml:space="preserve">.</w:t>
      </w:r>
    </w:p>
    <w:p>
      <w:pPr>
        <w:numPr>
          <w:ilvl w:val="0"/>
          <w:numId w:val="1001"/>
        </w:numPr>
        <w:pStyle w:val="Compact"/>
      </w:pPr>
      <w:r>
        <w:rPr>
          <w:bCs/>
          <w:b/>
        </w:rPr>
        <w:t xml:space="preserve">Change Orders:</w:t>
      </w:r>
      <w:r>
        <w:t xml:space="preserve"> </w:t>
      </w:r>
      <w:r>
        <w:t xml:space="preserve">Any modification to the scope of work outlined in this</w:t>
      </w:r>
      <w:r>
        <w:t xml:space="preserve"> </w:t>
      </w:r>
      <w:r>
        <w:t xml:space="preserve">Quotation Estimate</w:t>
      </w:r>
      <w:r>
        <w:t xml:space="preserve"> </w:t>
      </w:r>
      <w:r>
        <w:t xml:space="preserve">must be agreed in writing by both parties. Additional costs arising from approved change orders will be itemised in a supplementary estimate prior to execution.</w:t>
      </w:r>
    </w:p>
    <w:p>
      <w:pPr>
        <w:numPr>
          <w:ilvl w:val="0"/>
          <w:numId w:val="1001"/>
        </w:numPr>
        <w:pStyle w:val="Compact"/>
      </w:pPr>
      <w:r>
        <w:rPr>
          <w:bCs/>
          <w:b/>
        </w:rPr>
        <w:t xml:space="preserve">Confidentiality:</w:t>
      </w:r>
      <w:r>
        <w:t xml:space="preserve"> </w:t>
      </w:r>
      <w:r>
        <w:t xml:space="preserve">All technical data, network diagrams, and client information shared during the course of this</w:t>
      </w:r>
      <w:r>
        <w:t xml:space="preserve"> </w:t>
      </w:r>
      <w:r>
        <w:t xml:space="preserve">Telecommunication Engineer</w:t>
      </w:r>
      <w:r>
        <w:t xml:space="preserve"> </w:t>
      </w:r>
      <w:r>
        <w:t xml:space="preserve">engagement shall be treated as strictly confidential and shall not be disclosed to third parties without prior written consent.</w:t>
      </w:r>
    </w:p>
    <w:p>
      <w:pPr>
        <w:numPr>
          <w:ilvl w:val="0"/>
          <w:numId w:val="1001"/>
        </w:numPr>
        <w:pStyle w:val="Compact"/>
      </w:pPr>
      <w:r>
        <w:rPr>
          <w:bCs/>
          <w:b/>
        </w:rPr>
        <w:t xml:space="preserve">Governing Law:</w:t>
      </w:r>
      <w:r>
        <w:t xml:space="preserve"> </w:t>
      </w:r>
      <w:r>
        <w:t xml:space="preserve">This agreement shall be governed by and interpreted in accordance with the laws of the Kingdom of Spain. Any disputes arising from this</w:t>
      </w:r>
      <w:r>
        <w:t xml:space="preserve"> </w:t>
      </w:r>
      <w:r>
        <w:t xml:space="preserve">Quotation Estimate</w:t>
      </w:r>
      <w:r>
        <w:t xml:space="preserve"> </w:t>
      </w:r>
      <w:r>
        <w:t xml:space="preserve">or the resulting contract shall be submitted to the competent courts of Valencia,</w:t>
      </w:r>
      <w:r>
        <w:t xml:space="preserve"> </w:t>
      </w:r>
      <w:r>
        <w:t xml:space="preserve">Spain Valencia</w:t>
      </w:r>
      <w:r>
        <w:t xml:space="preserve">.</w:t>
      </w:r>
    </w:p>
    <w:bookmarkEnd w:id="25"/>
    <w:bookmarkStart w:id="26" w:name="acceptance-authorisation"/>
    <w:p>
      <w:pPr>
        <w:pStyle w:val="Heading2"/>
      </w:pPr>
      <w:r>
        <w:t xml:space="preserve">6. Acceptance &amp; Authorisation</w:t>
      </w:r>
    </w:p>
    <w:p>
      <w:pPr>
        <w:pStyle w:val="FirstParagraph"/>
      </w:pPr>
      <w:r>
        <w:t xml:space="preserve">By signing below, the client acknowledges receipt of this</w:t>
      </w:r>
      <w:r>
        <w:t xml:space="preserve"> </w:t>
      </w:r>
      <w:r>
        <w:t xml:space="preserve">Quotation Estimate</w:t>
      </w:r>
      <w:r>
        <w:t xml:space="preserve"> </w:t>
      </w:r>
      <w:r>
        <w:t xml:space="preserve">and authorises the</w:t>
      </w:r>
      <w:r>
        <w:t xml:space="preserve"> </w:t>
      </w:r>
      <w:r>
        <w:t xml:space="preserve">Telecommunication Engineer</w:t>
      </w:r>
      <w:r>
        <w:t xml:space="preserve"> </w:t>
      </w:r>
      <w:r>
        <w:t xml:space="preserve">team to proceed with the telecommunications infrastructure project in</w:t>
      </w:r>
      <w:r>
        <w:t xml:space="preserve"> </w:t>
      </w:r>
      <w:r>
        <w:t xml:space="preserve">Spain Valencia</w:t>
      </w:r>
      <w:r>
        <w:t xml:space="preserve"> </w:t>
      </w:r>
      <w:r>
        <w:t xml:space="preserve">under the terms and conditions set forth herein. This signature constitutes a binding agreement for the services described in this document.</w:t>
      </w:r>
    </w:p>
    <w:p>
      <w:pPr>
        <w:pStyle w:val="BodyText"/>
      </w:pPr>
      <w:r>
        <w:rPr>
          <w:bCs/>
          <w:b/>
        </w:rPr>
        <w:t xml:space="preserve">For the Contractor</w:t>
      </w:r>
    </w:p>
    <w:p>
      <w:pPr>
        <w:pStyle w:val="BodyText"/>
      </w:pPr>
      <w:r>
        <w:t xml:space="preserve">Telecommunication Engineer – Lead</w:t>
      </w:r>
    </w:p>
    <w:p>
      <w:pPr>
        <w:pStyle w:val="BodyText"/>
      </w:pPr>
      <w:r>
        <w:t xml:space="preserve">Name, Signature &amp; Date</w:t>
      </w:r>
    </w:p>
    <w:p>
      <w:pPr>
        <w:pStyle w:val="BodyText"/>
      </w:pPr>
      <w:r>
        <w:rPr>
          <w:bCs/>
          <w:b/>
        </w:rPr>
        <w:t xml:space="preserve">For the Client</w:t>
      </w:r>
    </w:p>
    <w:p>
      <w:pPr>
        <w:pStyle w:val="BodyText"/>
      </w:pPr>
      <w:r>
        <w:t xml:space="preserve">Authorised Representative</w:t>
      </w:r>
    </w:p>
    <w:p>
      <w:pPr>
        <w:pStyle w:val="BodyText"/>
      </w:pPr>
      <w:r>
        <w:t xml:space="preserve">Name, Signature &amp; Date</w:t>
      </w:r>
    </w:p>
    <w:p>
      <w:pPr>
        <w:pStyle w:val="BodyText"/>
      </w:pPr>
      <w:r>
        <w:t xml:space="preserve">Quotation Estimate QTE-2025-VAL-00847 | Telecommunication Engineer Services | Spain Valencia</w:t>
      </w:r>
    </w:p>
    <w:p>
      <w:pPr>
        <w:pStyle w:val="BodyText"/>
      </w:pPr>
      <w:r>
        <w:t xml:space="preserve">This document is the property of the issuing engineering firm. Unauthorised reproduction or distribution is prohibited.</w:t>
      </w:r>
    </w:p>
    <w:p>
      <w:pPr>
        <w:pStyle w:val="BodyText"/>
      </w:pPr>
      <w:r>
        <w:t xml:space="preserve">© 2025 –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Services - Spain Valencia</dc:title>
  <dc:creator/>
  <dc:language>en</dc:language>
  <cp:keywords/>
  <dcterms:created xsi:type="dcterms:W3CDTF">2026-10-10T01:45:21Z</dcterms:created>
  <dcterms:modified xsi:type="dcterms:W3CDTF">2026-10-10T01:45:21Z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