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Emirates Telecommunications Solutions LLC</w:t>
      </w:r>
    </w:p>
    <w:p>
      <w:pPr>
        <w:pStyle w:val="BodyText"/>
      </w:pPr>
      <w:r>
        <w:t xml:space="preserve">Office 42, Level 7, Al Reem Island Tower, United Arab Emirates Abu Dhabi</w:t>
      </w:r>
    </w:p>
    <w:p>
      <w:pPr>
        <w:pStyle w:val="BodyText"/>
      </w:pPr>
      <w:r>
        <w:t xml:space="preserve">TRN: 100234567800003 | CR: 1023456 | Tel: +971 2 555 0123 | Email: quotations@emirates-telecom-sol.ae</w:t>
      </w:r>
    </w:p>
    <w:bookmarkEnd w:id="20"/>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United Arab Emirates Abu Dhabi</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Al Noor Infrastructure Development Co.</w:t>
            </w:r>
          </w:p>
        </w:tc>
        <w:tc>
          <w:tcPr/>
          <w:p>
            <w:pPr>
              <w:pStyle w:val="Compact"/>
              <w:jc w:val="left"/>
            </w:pPr>
            <w:r>
              <w:rPr>
                <w:bCs/>
                <w:b/>
              </w:rPr>
              <w:t xml:space="preserve">Client Reference:</w:t>
            </w:r>
            <w:r>
              <w:t xml:space="preserve"> </w:t>
            </w:r>
            <w:r>
              <w:t xml:space="preserve">ANID-2025-TEC-009</w:t>
            </w:r>
          </w:p>
        </w:tc>
      </w:tr>
      <w:tr>
        <w:tc>
          <w:tcPr/>
          <w:p>
            <w:pPr>
              <w:pStyle w:val="Compact"/>
              <w:jc w:val="left"/>
            </w:pPr>
            <w:r>
              <w:rPr>
                <w:bCs/>
                <w:b/>
              </w:rPr>
              <w:t xml:space="preserve">Address:</w:t>
            </w:r>
            <w:r>
              <w:t xml:space="preserve"> </w:t>
            </w:r>
            <w:r>
              <w:t xml:space="preserve">Corniche Road, Khalifa City, United Arab Emirates Abu Dhabi</w:t>
            </w:r>
          </w:p>
        </w:tc>
        <w:tc>
          <w:tcPr/>
          <w:p>
            <w:pPr>
              <w:pStyle w:val="Compact"/>
              <w:jc w:val="left"/>
            </w:pPr>
            <w:r>
              <w:rPr>
                <w:bCs/>
                <w:b/>
              </w:rPr>
              <w:t xml:space="preserve">Contact Person:</w:t>
            </w:r>
            <w:r>
              <w:t xml:space="preserve"> </w:t>
            </w:r>
            <w:r>
              <w:t xml:space="preserve">Eng. Khalid Al Mansoori</w:t>
            </w:r>
          </w:p>
        </w:tc>
      </w:tr>
      <w:tr>
        <w:tc>
          <w:tcPr/>
          <w:p>
            <w:pPr>
              <w:pStyle w:val="Compact"/>
              <w:jc w:val="left"/>
            </w:pPr>
            <w:r>
              <w:rPr>
                <w:bCs/>
                <w:b/>
              </w:rPr>
              <w:t xml:space="preserve">Email:</w:t>
            </w:r>
            <w:r>
              <w:t xml:space="preserve"> </w:t>
            </w:r>
            <w:r>
              <w:t xml:space="preserve">k.mansoori@alnoor-infra.ae</w:t>
            </w:r>
          </w:p>
        </w:tc>
        <w:tc>
          <w:tcPr/>
          <w:p>
            <w:pPr>
              <w:pStyle w:val="Compact"/>
              <w:jc w:val="left"/>
            </w:pPr>
            <w:r>
              <w:rPr>
                <w:bCs/>
                <w:b/>
              </w:rPr>
              <w:t xml:space="preserve">Phone:</w:t>
            </w:r>
            <w:r>
              <w:t xml:space="preserve"> </w:t>
            </w:r>
            <w:r>
              <w:t xml:space="preserve">+971 50 123 4567</w:t>
            </w:r>
          </w:p>
        </w:tc>
      </w:tr>
    </w:tbl>
    <w:p>
      <w:pPr>
        <w:pStyle w:val="BodyText"/>
      </w:pPr>
      <w:r>
        <w:t xml:space="preserve">2. Scope of Work – Telecommunication Engineer Services</w:t>
      </w:r>
    </w:p>
    <w:p>
      <w:pPr>
        <w:pStyle w:val="BodyText"/>
      </w:pPr>
      <w:r>
        <w:t xml:space="preserve">This</w:t>
      </w:r>
      <w:r>
        <w:t xml:space="preserve"> </w:t>
      </w:r>
      <w:r>
        <w:t xml:space="preserve">Quotation Estimate</w:t>
      </w:r>
      <w:r>
        <w:t xml:space="preserve"> </w:t>
      </w:r>
      <w:r>
        <w:t xml:space="preserve">is issued by Emirates Telecommunications Solutions LLC to provide the services of a qualified</w:t>
      </w:r>
      <w:r>
        <w:t xml:space="preserve"> </w:t>
      </w:r>
      <w:r>
        <w:t xml:space="preserve">Telecommunication Engineer</w:t>
      </w:r>
      <w:r>
        <w:t xml:space="preserve"> </w:t>
      </w:r>
      <w:r>
        <w:t xml:space="preserve">for the design, implementation, and commissioning of a comprehensive telecommunications infrastructure project located in</w:t>
      </w:r>
      <w:r>
        <w:t xml:space="preserve"> </w:t>
      </w:r>
      <w:r>
        <w:t xml:space="preserve">United Arab Emirates Abu Dhabi</w:t>
      </w:r>
      <w:r>
        <w:t xml:space="preserve">. The scope encompasses all engineering activities required to deliver a fully operational telecommunication network in compliance with the UAE Telecommunications and Digital Government Regulatory Authority (TDRA) standards and local Abu Dhabi municipal regulations.</w:t>
      </w:r>
    </w:p>
    <w:p>
      <w:pPr>
        <w:pStyle w:val="BodyText"/>
      </w:pPr>
      <w:r>
        <w:t xml:space="preserve">The</w:t>
      </w:r>
      <w:r>
        <w:t xml:space="preserve"> </w:t>
      </w:r>
      <w:r>
        <w:t xml:space="preserve">Telecommunication Engineer</w:t>
      </w:r>
      <w:r>
        <w:t xml:space="preserve"> </w:t>
      </w:r>
      <w:r>
        <w:t xml:space="preserve">assigned to this project shall hold a minimum of ten (10) years of professional experience in fiber-optic network design, wireless broadband deployment, and enterprise-grade IP telephony systems. The engineer must possess valid professional certification recognized by the UAE Ministry of Human Resources and Emiratisation (MOHRE) and hold a current TDRA-registered professional license for telecommunications work within the emirate of Abu Dhabi.</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Site survey and feasibility assessment for telecommunications infrastructure at the project site in United Arab Emirates Abu Dhabi</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Detailed engineering design of fiber-optic backbone network (single-mode, 96-fiber) including routing, splicing plans, and ODF layout</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Design and specification of 5G-ready wireless access network covering 120,000 sqm of outdoor and indoor areas</w:t>
            </w:r>
          </w:p>
        </w:tc>
        <w:tc>
          <w:tcPr/>
          <w:p>
            <w:pPr>
              <w:pStyle w:val="Compact"/>
              <w:jc w:val="left"/>
            </w:pPr>
            <w:r>
              <w:t xml:space="preserve">1 Lot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4</w:t>
            </w:r>
          </w:p>
        </w:tc>
        <w:tc>
          <w:tcPr/>
          <w:p>
            <w:pPr>
              <w:pStyle w:val="Compact"/>
              <w:jc w:val="left"/>
            </w:pPr>
            <w:r>
              <w:t xml:space="preserve">Enterprise IP telephony and VoIP system design for 2,500 extensions with redundancy and failover architecture</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Network security architecture design including firewalls, intrusion detection, and data center interconnect (DCI) planning</w:t>
            </w:r>
          </w:p>
        </w:tc>
        <w:tc>
          <w:tcPr/>
          <w:p>
            <w:pPr>
              <w:pStyle w:val="Compact"/>
              <w:jc w:val="left"/>
            </w:pPr>
            <w:r>
              <w:t xml:space="preserve">1 Lot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6</w:t>
            </w:r>
          </w:p>
        </w:tc>
        <w:tc>
          <w:tcPr/>
          <w:p>
            <w:pPr>
              <w:pStyle w:val="Compact"/>
              <w:jc w:val="left"/>
            </w:pPr>
            <w:r>
              <w:t xml:space="preserve">Supervision and quality assurance during physical installation and cabling (estimated 120 working days on-site in Abu Dhabi)</w:t>
            </w:r>
          </w:p>
        </w:tc>
        <w:tc>
          <w:tcPr/>
          <w:p>
            <w:pPr>
              <w:pStyle w:val="Compact"/>
              <w:jc w:val="left"/>
            </w:pPr>
            <w:r>
              <w:t xml:space="preserve">120 Days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7</w:t>
            </w:r>
          </w:p>
        </w:tc>
        <w:tc>
          <w:tcPr/>
          <w:p>
            <w:pPr>
              <w:pStyle w:val="Compact"/>
              <w:jc w:val="left"/>
            </w:pPr>
            <w:r>
              <w:t xml:space="preserve">System integration, end-to-end testing, and commissioning of all telecommunications subsystems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Preparation of as-built documentation, TDRA compliance reports, and handover package for United Arab Emirates Abu Dhabi municipal authorities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Post-commissioning support and warranty period (6 months) including remote and on-site troubleshooting</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r>
      <w:tr>
        <w:tc>
          <w:tcPr>
            <w:gridSpan w:val="4"/>
          </w:tcPr>
          <w:p>
            <w:pPr>
              <w:pStyle w:val="Compact"/>
              <w:jc w:val="left"/>
            </w:pPr>
            <w:r>
              <w:rPr>
                <w:bCs/>
                <w:b/>
              </w:rPr>
              <w:t xml:space="preserve">Subtotal (AED)</w:t>
            </w:r>
          </w:p>
        </w:tc>
        <w:tc>
          <w:tcPr/>
          <w:p>
            <w:pPr>
              <w:pStyle w:val="Compact"/>
              <w:jc w:val="left"/>
            </w:pPr>
            <w:r>
              <w:rPr>
                <w:bCs/>
                <w:b/>
              </w:rPr>
              <w:t xml:space="preserve">519,000.00</w:t>
            </w:r>
          </w:p>
        </w:tc>
      </w:tr>
      <w:tr>
        <w:tc>
          <w:tcPr>
            <w:gridSpan w:val="4"/>
          </w:tcPr>
          <w:p>
            <w:pPr>
              <w:pStyle w:val="Compact"/>
              <w:jc w:val="left"/>
            </w:pPr>
            <w:r>
              <w:rPr>
                <w:bCs/>
                <w:b/>
              </w:rPr>
              <w:t xml:space="preserve">VAT @ 5% (UAE)</w:t>
            </w:r>
          </w:p>
        </w:tc>
        <w:tc>
          <w:tcPr/>
          <w:p>
            <w:pPr>
              <w:pStyle w:val="Compact"/>
              <w:jc w:val="left"/>
            </w:pPr>
            <w:r>
              <w:rPr>
                <w:bCs/>
                <w:b/>
              </w:rPr>
              <w:t xml:space="preserve">25,950.00</w:t>
            </w:r>
          </w:p>
        </w:tc>
      </w:tr>
      <w:tr>
        <w:tc>
          <w:tcPr>
            <w:gridSpan w:val="4"/>
          </w:tcPr>
          <w:p>
            <w:pPr>
              <w:pStyle w:val="Compact"/>
              <w:jc w:val="left"/>
            </w:pPr>
            <w:r>
              <w:rPr>
                <w:bCs/>
                <w:b/>
              </w:rPr>
              <w:t xml:space="preserve">Grand Total (AED)</w:t>
            </w:r>
          </w:p>
        </w:tc>
        <w:tc>
          <w:tcPr/>
          <w:p>
            <w:pPr>
              <w:pStyle w:val="Compact"/>
              <w:jc w:val="left"/>
            </w:pPr>
            <w:r>
              <w:rPr>
                <w:bCs/>
                <w:b/>
              </w:rPr>
              <w:t xml:space="preserve">544,950.00</w:t>
            </w:r>
          </w:p>
        </w:tc>
      </w:tr>
    </w:tbl>
    <w:p>
      <w:pPr>
        <w:pStyle w:val="BodyText"/>
      </w:pPr>
      <w:r>
        <w:t xml:space="preserve">4. Payment Terms</w:t>
      </w:r>
    </w:p>
    <w:p>
      <w:pPr>
        <w:numPr>
          <w:ilvl w:val="0"/>
          <w:numId w:val="1001"/>
        </w:numPr>
        <w:pStyle w:val="Compact"/>
      </w:pPr>
      <w:r>
        <w:rPr>
          <w:bCs/>
          <w:b/>
        </w:rPr>
        <w:t xml:space="preserve">Advance Payment (30%):</w:t>
      </w:r>
      <w:r>
        <w:t xml:space="preserve"> </w:t>
      </w:r>
      <w:r>
        <w:t xml:space="preserve">AED 163,485.00 – Due upon signed acceptance of this Quotation Estimate and execution of the service agreement.</w:t>
      </w:r>
    </w:p>
    <w:p>
      <w:pPr>
        <w:numPr>
          <w:ilvl w:val="0"/>
          <w:numId w:val="1001"/>
        </w:numPr>
        <w:pStyle w:val="Compact"/>
      </w:pPr>
      <w:r>
        <w:rPr>
          <w:bCs/>
          <w:b/>
        </w:rPr>
        <w:t xml:space="preserve">Progress Payment (40%):</w:t>
      </w:r>
      <w:r>
        <w:t xml:space="preserve"> </w:t>
      </w:r>
      <w:r>
        <w:t xml:space="preserve">AED 217,980.00 – Payable upon completion of detailed engineering design and approval by the client's project management team.</w:t>
      </w:r>
    </w:p>
    <w:p>
      <w:pPr>
        <w:numPr>
          <w:ilvl w:val="0"/>
          <w:numId w:val="1001"/>
        </w:numPr>
        <w:pStyle w:val="Compact"/>
      </w:pPr>
      <w:r>
        <w:rPr>
          <w:bCs/>
          <w:b/>
        </w:rPr>
        <w:t xml:space="preserve">Completion Payment (25%):</w:t>
      </w:r>
      <w:r>
        <w:t xml:space="preserve"> </w:t>
      </w:r>
      <w:r>
        <w:t xml:space="preserve">AED 136,237.50 – Payable upon successful commissioning and handover of all telecommunications systems.</w:t>
      </w:r>
    </w:p>
    <w:p>
      <w:pPr>
        <w:numPr>
          <w:ilvl w:val="0"/>
          <w:numId w:val="1001"/>
        </w:numPr>
        <w:pStyle w:val="Compact"/>
      </w:pPr>
      <w:r>
        <w:rPr>
          <w:bCs/>
          <w:b/>
        </w:rPr>
        <w:t xml:space="preserve">Retention (5%):</w:t>
      </w:r>
      <w:r>
        <w:t xml:space="preserve"> </w:t>
      </w:r>
      <w:r>
        <w:t xml:space="preserve">AED 27,247.50 – Released after the six-month warranty period expires without unresolved defects.</w:t>
      </w:r>
    </w:p>
    <w:p>
      <w:pPr>
        <w:pStyle w:val="FirstParagraph"/>
      </w:pPr>
      <w:r>
        <w:t xml:space="preserve">All payments shall be made via bank transfer to the account of Emirates Telecommunications Solutions LLC, First Abu Dhabi Bank (FAB), United Arab Emirates Abu Dhabi branch. Payment is due within fourteen (14) calendar days of invoice issuance.</w:t>
      </w:r>
    </w:p>
    <w:p>
      <w:pPr>
        <w:pStyle w:val="BodyText"/>
      </w:pPr>
      <w:r>
        <w:t xml:space="preserve">5. Terms and Conditions</w:t>
      </w:r>
    </w:p>
    <w:p>
      <w:pPr>
        <w:numPr>
          <w:ilvl w:val="0"/>
          <w:numId w:val="1002"/>
        </w:numPr>
        <w:pStyle w:val="Compact"/>
      </w:pPr>
      <w:r>
        <w:t xml:space="preserve">This Quotation Estimate is valid for thirty (30) days from the date of issue. Beyond this period, pricing may be subject to revision based on market conditions in the United Arab Emirates Abu Dhabi telecommunications sector.</w:t>
      </w:r>
    </w:p>
    <w:p>
      <w:pPr>
        <w:numPr>
          <w:ilvl w:val="0"/>
          <w:numId w:val="1002"/>
        </w:numPr>
        <w:pStyle w:val="Compact"/>
      </w:pPr>
      <w:r>
        <w:t xml:space="preserve">The Telecommunication Engineer services described herein are exclusive to the project site specified in this document. Any additional scope, change orders, or site modifications will be subject to a supplementary Quotation Estimate issued separately.</w:t>
      </w:r>
    </w:p>
    <w:p>
      <w:pPr>
        <w:numPr>
          <w:ilvl w:val="0"/>
          <w:numId w:val="1002"/>
        </w:numPr>
        <w:pStyle w:val="Compact"/>
      </w:pPr>
      <w:r>
        <w:t xml:space="preserve">The client shall provide the Telecommunication Engineer with safe access to the project site, necessary permits from Abu Dhabi municipal and TDRA authorities, and all prerequisite civil works completed prior to the commencement of telecommunications installation activities.</w:t>
      </w:r>
    </w:p>
    <w:p>
      <w:pPr>
        <w:numPr>
          <w:ilvl w:val="0"/>
          <w:numId w:val="1002"/>
        </w:numPr>
        <w:pStyle w:val="Compact"/>
      </w:pPr>
      <w:r>
        <w:t xml:space="preserve">All engineering deliverables shall comply with TDRA regulations, UAE Civil Defense requirements, and the Abu Dhabi Utilities Company (ADDC) and Abu Dhabi Distribution Company (ADC) guidelines applicable to telecommunications infrastructure in the emirate.</w:t>
      </w:r>
    </w:p>
    <w:p>
      <w:pPr>
        <w:numPr>
          <w:ilvl w:val="0"/>
          <w:numId w:val="1002"/>
        </w:numPr>
        <w:pStyle w:val="Compact"/>
      </w:pPr>
      <w:r>
        <w:t xml:space="preserve">Intellectual property rights for all design documents, network topologies, and engineering specifications produced under this Quotation Estimate shall vest in the client upon full and final payment.</w:t>
      </w:r>
    </w:p>
    <w:p>
      <w:pPr>
        <w:numPr>
          <w:ilvl w:val="0"/>
          <w:numId w:val="1002"/>
        </w:numPr>
        <w:pStyle w:val="Compact"/>
      </w:pPr>
      <w:r>
        <w:t xml:space="preserve">Force majeure events, including but not limited to extreme weather conditions common to the Abu Dhabi region, government-mandated work stoppages, or supply chain disruptions, shall extend the project timeline on a day-for-day basis without penalty to either party.</w:t>
      </w:r>
    </w:p>
    <w:p>
      <w:pPr>
        <w:numPr>
          <w:ilvl w:val="0"/>
          <w:numId w:val="1002"/>
        </w:numPr>
        <w:pStyle w:val="Compact"/>
      </w:pPr>
      <w:r>
        <w:t xml:space="preserve">Disputes arising from this Quotation Estimate shall be resolved through arbitration in accordance with the UAE Federal Arbitration Law, with the seat of arbitration in Abu Dhabi, United Arab Emirates.</w:t>
      </w:r>
    </w:p>
    <w:p>
      <w:pPr>
        <w:pStyle w:val="FirstParagraph"/>
      </w:pPr>
      <w:r>
        <w:t xml:space="preserve">6. Acceptance and Authorization</w:t>
      </w:r>
    </w:p>
    <w:p>
      <w:pPr>
        <w:pStyle w:val="BodyText"/>
      </w:pPr>
      <w:r>
        <w:t xml:space="preserve">By signing below, both parties acknowledge and agree to the terms, scope, and pricing outlined in this Quotation Estimate for Telecommunication Engineer services to be delivered in United Arab Emirates Abu Dhabi.</w:t>
      </w:r>
    </w:p>
    <w:p>
      <w:pPr>
        <w:pStyle w:val="BodyText"/>
      </w:pPr>
      <w:r>
        <w:rPr>
          <w:bCs/>
          <w:b/>
        </w:rPr>
        <w:t xml:space="preserve">For: Emirates Telecommunications Solutions LLC</w:t>
      </w:r>
      <w:r>
        <w:br/>
      </w:r>
      <w:r>
        <w:t xml:space="preserve">Name: Eng. Sarah Al Farsi</w:t>
      </w:r>
      <w:r>
        <w:br/>
      </w:r>
      <w:r>
        <w:t xml:space="preserve">Title: Chief Telecommunication Engineer</w:t>
      </w:r>
      <w:r>
        <w:br/>
      </w:r>
      <w:r>
        <w:t xml:space="preserve">Date: _______________</w:t>
      </w:r>
    </w:p>
    <w:p>
      <w:pPr>
        <w:pStyle w:val="BodyText"/>
      </w:pPr>
      <w:r>
        <w:rPr>
          <w:bCs/>
          <w:b/>
        </w:rPr>
        <w:t xml:space="preserve">For: Al Noor Infrastructure Development Co.</w:t>
      </w:r>
      <w:r>
        <w:br/>
      </w:r>
      <w:r>
        <w:t xml:space="preserve">Name: Eng. Khalid Al Mansoori</w:t>
      </w:r>
      <w:r>
        <w:br/>
      </w:r>
      <w:r>
        <w:t xml:space="preserve">Title: Project Director</w:t>
      </w:r>
      <w:r>
        <w:br/>
      </w:r>
      <w:r>
        <w:t xml:space="preserve">Date: _______________</w:t>
      </w:r>
    </w:p>
    <w:p>
      <w:pPr>
        <w:pStyle w:val="BodyText"/>
      </w:pPr>
      <w:r>
        <w:t xml:space="preserve">This Quotation Estimate document is generated by Emirates Telecommunications Solutions LLC, United Arab Emirates Abu Dhabi. Document Reference: QTE-2025-04871. This document is confidential and intended solely for the named recipient. Unauthorized reproduction or distribution is prohibited. All amounts are stated in United Arab Emirates Dirhams (AED) and are inclusive of applicable UAE Value Added Tax at 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United Arab Emirates Abu Dhabi</dc:title>
  <dc:creator/>
  <dc:language>en</dc:language>
  <cp:keywords/>
  <dcterms:created xsi:type="dcterms:W3CDTF">2026-10-10T03:44:42Z</dcterms:created>
  <dcterms:modified xsi:type="dcterms:W3CDTF">2026-10-10T03:44:42Z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