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United Arab Emirates — Dubai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QTE-DXB-2025-04782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By</w:t>
            </w:r>
          </w:p>
        </w:tc>
        <w:tc>
          <w:tcPr/>
          <w:p>
            <w:pPr>
              <w:pStyle w:val="Compact"/>
              <w:jc w:val="left"/>
            </w:pPr>
            <w:r>
              <w:t xml:space="preserve">Emirates Telecommunications Solutions LLC, Dubai, United Arab Emirates</w:t>
            </w:r>
          </w:p>
        </w:tc>
      </w:tr>
      <w:tr>
        <w:tc>
          <w:tcPr/>
          <w:p>
            <w:pPr>
              <w:pStyle w:val="Compact"/>
              <w:jc w:val="left"/>
            </w:pPr>
            <w:r>
              <w:t xml:space="preserve">Prepared For</w:t>
            </w:r>
          </w:p>
        </w:tc>
        <w:tc>
          <w:tcPr/>
          <w:p>
            <w:pPr>
              <w:pStyle w:val="Compact"/>
              <w:jc w:val="left"/>
            </w:pPr>
            <w:r>
              <w:t xml:space="preserve">Client Name / Organization (United Arab Emirates, Dubai)</w:t>
            </w:r>
          </w:p>
        </w:tc>
      </w:tr>
      <w:tr>
        <w:tc>
          <w:tcPr/>
          <w:p>
            <w:pPr>
              <w:pStyle w:val="Compact"/>
              <w:jc w:val="left"/>
            </w:pPr>
            <w:r>
              <w:t xml:space="preserve">Project Location</w:t>
            </w:r>
          </w:p>
        </w:tc>
        <w:tc>
          <w:tcPr/>
          <w:p>
            <w:pPr>
              <w:pStyle w:val="Compact"/>
              <w:jc w:val="left"/>
            </w:pPr>
            <w:r>
              <w:t xml:space="preserve">Dubai, United Arab Emirates</w:t>
            </w:r>
          </w:p>
        </w:tc>
      </w:tr>
      <w:tr>
        <w:tc>
          <w:tcPr/>
          <w:p>
            <w:pPr>
              <w:pStyle w:val="Compact"/>
              <w:jc w:val="left"/>
            </w:pPr>
            <w:r>
              <w:t xml:space="preserve">Currency</w:t>
            </w:r>
          </w:p>
        </w:tc>
        <w:tc>
          <w:tcPr/>
          <w:p>
            <w:pPr>
              <w:pStyle w:val="Compact"/>
              <w:jc w:val="left"/>
            </w:pPr>
            <w:r>
              <w:t xml:space="preserve">United Arab Emirates Dirham (AED)</w:t>
            </w:r>
          </w:p>
        </w:tc>
      </w:tr>
    </w:tbl>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Emirates Telecommunications Solutions LLC to provide a comprehensive and transparent breakdown of professional services rendered by a certified</w:t>
      </w:r>
      <w:r>
        <w:t xml:space="preserve"> </w:t>
      </w:r>
      <w:r>
        <w:t xml:space="preserve">Telecommunication Engineer</w:t>
      </w:r>
      <w:r>
        <w:t xml:space="preserve"> </w:t>
      </w:r>
      <w:r>
        <w:t xml:space="preserve">for the design, implementation, testing, and commissioning of telecommunications infrastructure within the</w:t>
      </w:r>
      <w:r>
        <w:t xml:space="preserve"> </w:t>
      </w:r>
      <w:r>
        <w:t xml:space="preserve">United Arab Emirates Dubai</w:t>
      </w:r>
      <w:r>
        <w:t xml:space="preserve"> </w:t>
      </w:r>
      <w:r>
        <w:t xml:space="preserve">metropolitan area. This document serves as a binding financial proposal and technical scope reference for the client, ensuring full alignment with the regulatory standards set forth by the Telecommunications and Digital Government Regulatory Authority (TDRA) of the United Arab Emirates.</w:t>
      </w:r>
    </w:p>
    <w:p>
      <w:pPr>
        <w:pStyle w:val="BodyText"/>
      </w:pPr>
      <w:r>
        <w:t xml:space="preserve">The</w:t>
      </w:r>
      <w:r>
        <w:t xml:space="preserve"> </w:t>
      </w:r>
      <w:r>
        <w:t xml:space="preserve">Telecommunication Engineer</w:t>
      </w:r>
      <w:r>
        <w:t xml:space="preserve"> </w:t>
      </w:r>
      <w:r>
        <w:t xml:space="preserve">assigned to this project holds a minimum of ten (10) years of hands-on experience in fiber-optic network deployment, 5G base station installation, structured cabling, and enterprise-grade IP telephony systems. All work will be conducted in strict compliance with the United Arab Emirates building codes, Dubai Municipality electrical regulations, and TDRA spectrum licensing requirements applicable within the</w:t>
      </w:r>
      <w:r>
        <w:t xml:space="preserve"> </w:t>
      </w:r>
      <w:r>
        <w:t xml:space="preserve">United Arab Emirates Dubai</w:t>
      </w:r>
      <w:r>
        <w:t xml:space="preserve"> </w:t>
      </w:r>
      <w:r>
        <w:t xml:space="preserve">jurisdiction.</w:t>
      </w:r>
    </w:p>
    <w:bookmarkEnd w:id="21"/>
    <w:bookmarkStart w:id="22" w:name="scope-of-work"/>
    <w:p>
      <w:pPr>
        <w:pStyle w:val="Heading2"/>
      </w:pPr>
      <w:r>
        <w:t xml:space="preserve">2. Scope of Work</w:t>
      </w:r>
    </w:p>
    <w:p>
      <w:pPr>
        <w:pStyle w:val="FirstParagraph"/>
      </w:pPr>
      <w:r>
        <w:t xml:space="preserve">The</w:t>
      </w:r>
      <w:r>
        <w:t xml:space="preserve"> </w:t>
      </w:r>
      <w:r>
        <w:t xml:space="preserve">Telecommunication Engineer</w:t>
      </w:r>
      <w:r>
        <w:t xml:space="preserve"> </w:t>
      </w:r>
      <w:r>
        <w:t xml:space="preserve">shall perform the following tasks as part of this engagement:</w:t>
      </w:r>
    </w:p>
    <w:p>
      <w:pPr>
        <w:numPr>
          <w:ilvl w:val="0"/>
          <w:numId w:val="1001"/>
        </w:numPr>
        <w:pStyle w:val="Compact"/>
      </w:pPr>
      <w:r>
        <w:rPr>
          <w:bCs/>
          <w:b/>
        </w:rPr>
        <w:t xml:space="preserve">Site Survey and Feasibility Assessment:</w:t>
      </w:r>
      <w:r>
        <w:t xml:space="preserve"> </w:t>
      </w:r>
      <w:r>
        <w:t xml:space="preserve">A full on-site inspection of the client's premises located in Dubai, United Arab Emirates, to evaluate existing infrastructure, identify signal propagation challenges, and determine optimal equipment placement for wireless and wired telecommunications systems.</w:t>
      </w:r>
    </w:p>
    <w:p>
      <w:pPr>
        <w:numPr>
          <w:ilvl w:val="0"/>
          <w:numId w:val="1001"/>
        </w:numPr>
        <w:pStyle w:val="Compact"/>
      </w:pPr>
      <w:r>
        <w:rPr>
          <w:bCs/>
          <w:b/>
        </w:rPr>
        <w:t xml:space="preserve">Network Design and Engineering:</w:t>
      </w:r>
      <w:r>
        <w:t xml:space="preserve"> </w:t>
      </w:r>
      <w:r>
        <w:t xml:space="preserve">Development of detailed engineering drawings, single-line diagrams, and Bill of Materials (BOM) for the telecommunications network, including fiber backbone, copper distribution, and wireless access points.</w:t>
      </w:r>
    </w:p>
    <w:p>
      <w:pPr>
        <w:numPr>
          <w:ilvl w:val="0"/>
          <w:numId w:val="1001"/>
        </w:numPr>
        <w:pStyle w:val="Compact"/>
      </w:pPr>
      <w:r>
        <w:rPr>
          <w:bCs/>
          <w:b/>
        </w:rPr>
        <w:t xml:space="preserve">Equipment Procurement and Supply:</w:t>
      </w:r>
      <w:r>
        <w:t xml:space="preserve"> </w:t>
      </w:r>
      <w:r>
        <w:t xml:space="preserve">Sourcing, customs clearance, and delivery of all telecommunications hardware including routers, switches, patch panels, fiber optic cables, coaxial cables, and 5G small-cell antennas.</w:t>
      </w:r>
    </w:p>
    <w:p>
      <w:pPr>
        <w:numPr>
          <w:ilvl w:val="0"/>
          <w:numId w:val="1001"/>
        </w:numPr>
        <w:pStyle w:val="Compact"/>
      </w:pPr>
      <w:r>
        <w:rPr>
          <w:bCs/>
          <w:b/>
        </w:rPr>
        <w:t xml:space="preserve">Installation and Commissioning:</w:t>
      </w:r>
      <w:r>
        <w:t xml:space="preserve"> </w:t>
      </w:r>
      <w:r>
        <w:t xml:space="preserve">Physical installation of all cabling, rack mounting, termination, and configuration of network equipment at the client's site in Dubai, United Arab Emirates.</w:t>
      </w:r>
    </w:p>
    <w:p>
      <w:pPr>
        <w:numPr>
          <w:ilvl w:val="0"/>
          <w:numId w:val="1001"/>
        </w:numPr>
        <w:pStyle w:val="Compact"/>
      </w:pPr>
      <w:r>
        <w:rPr>
          <w:bCs/>
          <w:b/>
        </w:rPr>
        <w:t xml:space="preserve">Testing and Certification:</w:t>
      </w:r>
      <w:r>
        <w:t xml:space="preserve"> </w:t>
      </w:r>
      <w:r>
        <w:t xml:space="preserve">Comprehensive performance testing including OTDR fiber testing, cable certification to TIA/EIA-568 standards, RF spectrum analysis, and load testing of the IP telephony platform.</w:t>
      </w:r>
    </w:p>
    <w:p>
      <w:pPr>
        <w:numPr>
          <w:ilvl w:val="0"/>
          <w:numId w:val="1001"/>
        </w:numPr>
        <w:pStyle w:val="Compact"/>
      </w:pPr>
      <w:r>
        <w:rPr>
          <w:bCs/>
          <w:b/>
        </w:rPr>
        <w:t xml:space="preserve">Documentation and Handover:</w:t>
      </w:r>
      <w:r>
        <w:t xml:space="preserve"> </w:t>
      </w:r>
      <w:r>
        <w:t xml:space="preserve">Delivery of as-built drawings, test reports, operation and maintenance manuals, and a formal commissioning certificate to the client.</w:t>
      </w:r>
    </w:p>
    <w:p>
      <w:pPr>
        <w:numPr>
          <w:ilvl w:val="0"/>
          <w:numId w:val="1001"/>
        </w:numPr>
        <w:pStyle w:val="Compact"/>
      </w:pPr>
      <w:r>
        <w:rPr>
          <w:bCs/>
          <w:b/>
        </w:rPr>
        <w:t xml:space="preserve">Regulatory Compliance Filing:</w:t>
      </w:r>
      <w:r>
        <w:t xml:space="preserve"> </w:t>
      </w:r>
      <w:r>
        <w:t xml:space="preserve">Submission of all necessary permits and notifications to the TDRA and Dubai Municipality on behalf of the client.</w:t>
      </w:r>
    </w:p>
    <w:bookmarkEnd w:id="22"/>
    <w:bookmarkStart w:id="23" w:name="financial-breakdown"/>
    <w:p>
      <w:pPr>
        <w:pStyle w:val="Heading2"/>
      </w:pPr>
      <w:r>
        <w:t xml:space="preserve">3. Financial Breakdown</w:t>
      </w:r>
    </w:p>
    <w:p>
      <w:pPr>
        <w:pStyle w:val="FirstParagraph"/>
      </w:pPr>
      <w:r>
        <w:t xml:space="preserve">The following</w:t>
      </w:r>
      <w:r>
        <w:t xml:space="preserve"> </w:t>
      </w:r>
      <w:r>
        <w:t xml:space="preserve">Quotation Estimate</w:t>
      </w:r>
      <w:r>
        <w:t xml:space="preserve"> </w:t>
      </w:r>
      <w:r>
        <w:t xml:space="preserve">outlines the itemized costs associated with the engagement of the</w:t>
      </w:r>
      <w:r>
        <w:t xml:space="preserve"> </w:t>
      </w:r>
      <w:r>
        <w:t xml:space="preserve">Telecommunication Engineer</w:t>
      </w:r>
      <w:r>
        <w:t xml:space="preserve"> </w:t>
      </w:r>
      <w:r>
        <w:t xml:space="preserve">and all related services for the project located in</w:t>
      </w:r>
      <w:r>
        <w:t xml:space="preserve"> </w:t>
      </w:r>
      <w:r>
        <w:t xml:space="preserve">United Arab Emirates Dubai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Telecommunication Engineer — Site Survey &amp; Feasibility Report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Telecommunication Engineer — Network Design &amp; Engineering Drawings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Fiber Optic Cabling (Single-mode, 12-core) — per 100m</w:t>
            </w:r>
          </w:p>
        </w:tc>
        <w:tc>
          <w:tcPr/>
          <w:p>
            <w:pPr>
              <w:pStyle w:val="Compact"/>
              <w:jc w:val="left"/>
            </w:pPr>
            <w:r>
              <w:t xml:space="preserve">450 m</w:t>
            </w:r>
          </w:p>
        </w:tc>
        <w:tc>
          <w:tcPr/>
          <w:p>
            <w:pPr>
              <w:pStyle w:val="Compact"/>
              <w:jc w:val="left"/>
            </w:pPr>
            <w:r>
              <w:t xml:space="preserve">185</w:t>
            </w:r>
          </w:p>
        </w:tc>
        <w:tc>
          <w:tcPr/>
          <w:p>
            <w:pPr>
              <w:pStyle w:val="Compact"/>
              <w:jc w:val="left"/>
            </w:pPr>
            <w:r>
              <w:t xml:space="preserve">83,250</w:t>
            </w:r>
          </w:p>
        </w:tc>
      </w:tr>
      <w:tr>
        <w:tc>
          <w:tcPr/>
          <w:p>
            <w:pPr>
              <w:pStyle w:val="Compact"/>
              <w:jc w:val="left"/>
            </w:pPr>
            <w:r>
              <w:t xml:space="preserve">04</w:t>
            </w:r>
          </w:p>
        </w:tc>
        <w:tc>
          <w:tcPr/>
          <w:p>
            <w:pPr>
              <w:pStyle w:val="Compact"/>
              <w:jc w:val="left"/>
            </w:pPr>
            <w:r>
              <w:t xml:space="preserve">Structured Copper Cabling (Cat 6A) — per point</w:t>
            </w:r>
          </w:p>
        </w:tc>
        <w:tc>
          <w:tcPr/>
          <w:p>
            <w:pPr>
              <w:pStyle w:val="Compact"/>
              <w:jc w:val="left"/>
            </w:pPr>
            <w:r>
              <w:t xml:space="preserve">120</w:t>
            </w:r>
          </w:p>
        </w:tc>
        <w:tc>
          <w:tcPr/>
          <w:p>
            <w:pPr>
              <w:pStyle w:val="Compact"/>
              <w:jc w:val="left"/>
            </w:pPr>
            <w:r>
              <w:t xml:space="preserve">320</w:t>
            </w:r>
          </w:p>
        </w:tc>
        <w:tc>
          <w:tcPr/>
          <w:p>
            <w:pPr>
              <w:pStyle w:val="Compact"/>
              <w:jc w:val="left"/>
            </w:pPr>
            <w:r>
              <w:t xml:space="preserve">38,400</w:t>
            </w:r>
          </w:p>
        </w:tc>
      </w:tr>
      <w:tr>
        <w:tc>
          <w:tcPr/>
          <w:p>
            <w:pPr>
              <w:pStyle w:val="Compact"/>
              <w:jc w:val="left"/>
            </w:pPr>
            <w:r>
              <w:t xml:space="preserve">05</w:t>
            </w:r>
          </w:p>
        </w:tc>
        <w:tc>
          <w:tcPr/>
          <w:p>
            <w:pPr>
              <w:pStyle w:val="Compact"/>
              <w:jc w:val="left"/>
            </w:pPr>
            <w:r>
              <w:t xml:space="preserve">5G Small-Cell Base Station (Outdoor) — Supply &amp; Install</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Enterprise Core Switch (48-port, 10G uplink)</w:t>
            </w:r>
          </w:p>
        </w:tc>
        <w:tc>
          <w:tcPr/>
          <w:p>
            <w:pPr>
              <w:pStyle w:val="Compact"/>
              <w:jc w:val="left"/>
            </w:pPr>
            <w:r>
              <w:t xml:space="preserve">2</w:t>
            </w:r>
          </w:p>
        </w:tc>
        <w:tc>
          <w:tcPr/>
          <w:p>
            <w:pPr>
              <w:pStyle w:val="Compact"/>
              <w:jc w:val="left"/>
            </w:pPr>
            <w:r>
              <w:t xml:space="preserve">32,500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IP Telephony PBX System (200 extensions)</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08</w:t>
            </w:r>
          </w:p>
        </w:tc>
        <w:tc>
          <w:tcPr/>
          <w:p>
            <w:pPr>
              <w:pStyle w:val="Compact"/>
              <w:jc w:val="left"/>
            </w:pPr>
            <w:r>
              <w:t xml:space="preserve">Telecommunication Engineer — Installation &amp; Commissioning Labour</w:t>
            </w:r>
          </w:p>
        </w:tc>
        <w:tc>
          <w:tcPr/>
          <w:p>
            <w:pPr>
              <w:pStyle w:val="Compact"/>
              <w:jc w:val="left"/>
            </w:pPr>
            <w:r>
              <w:t xml:space="preserve">320 hrs</w:t>
            </w:r>
          </w:p>
        </w:tc>
        <w:tc>
          <w:tcPr/>
          <w:p>
            <w:pPr>
              <w:pStyle w:val="Compact"/>
              <w:jc w:val="left"/>
            </w:pPr>
            <w:r>
              <w:t xml:space="preserve">275</w:t>
            </w:r>
          </w:p>
        </w:tc>
        <w:tc>
          <w:tcPr/>
          <w:p>
            <w:pPr>
              <w:pStyle w:val="Compact"/>
              <w:jc w:val="left"/>
            </w:pPr>
            <w:r>
              <w:t xml:space="preserve">88,000</w:t>
            </w:r>
          </w:p>
        </w:tc>
      </w:tr>
      <w:tr>
        <w:tc>
          <w:tcPr/>
          <w:p>
            <w:pPr>
              <w:pStyle w:val="Compact"/>
              <w:jc w:val="left"/>
            </w:pPr>
            <w:r>
              <w:t xml:space="preserve">09</w:t>
            </w:r>
          </w:p>
        </w:tc>
        <w:tc>
          <w:tcPr/>
          <w:p>
            <w:pPr>
              <w:pStyle w:val="Compact"/>
              <w:jc w:val="left"/>
            </w:pPr>
            <w:r>
              <w:t xml:space="preserve">Testing, Certification &amp; As-Built Documentation</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10</w:t>
            </w:r>
          </w:p>
        </w:tc>
        <w:tc>
          <w:tcPr/>
          <w:p>
            <w:pPr>
              <w:pStyle w:val="Compact"/>
              <w:jc w:val="left"/>
            </w:pPr>
            <w:r>
              <w:t xml:space="preserve">TDRA Permit Filing &amp; Regulatory Compliance (Dubai, UAE)</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11</w:t>
            </w:r>
          </w:p>
        </w:tc>
        <w:tc>
          <w:tcPr/>
          <w:p>
            <w:pPr>
              <w:pStyle w:val="Compact"/>
              <w:jc w:val="left"/>
            </w:pPr>
            <w:r>
              <w:t xml:space="preserve">Project Management &amp; Coordination (Telecommunication Engineer Lead)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w:t>
            </w:r>
          </w:p>
        </w:tc>
        <w:tc>
          <w:tcPr/>
          <w:p>
            <w:pPr>
              <w:pStyle w:val="Compact"/>
              <w:jc w:val="left"/>
            </w:pPr>
            <w:r>
              <w:t xml:space="preserve">577,450</w:t>
            </w:r>
          </w:p>
        </w:tc>
      </w:tr>
      <w:tr>
        <w:tc>
          <w:tcPr>
            <w:gridSpan w:val="4"/>
          </w:tcPr>
          <w:p>
            <w:pPr>
              <w:pStyle w:val="Compact"/>
              <w:jc w:val="left"/>
            </w:pPr>
            <w:r>
              <w:t xml:space="preserve">VAT (5% — United Arab Emirates)</w:t>
            </w:r>
          </w:p>
        </w:tc>
        <w:tc>
          <w:tcPr/>
          <w:p>
            <w:pPr>
              <w:pStyle w:val="Compact"/>
              <w:jc w:val="left"/>
            </w:pPr>
            <w:r>
              <w:t xml:space="preserve">28,872.50</w:t>
            </w:r>
          </w:p>
        </w:tc>
      </w:tr>
      <w:tr>
        <w:tc>
          <w:tcPr>
            <w:gridSpan w:val="4"/>
          </w:tcPr>
          <w:p>
            <w:pPr>
              <w:pStyle w:val="Compact"/>
              <w:jc w:val="left"/>
            </w:pPr>
            <w:r>
              <w:t xml:space="preserve">Grand Total (AED)</w:t>
            </w:r>
          </w:p>
        </w:tc>
        <w:tc>
          <w:tcPr/>
          <w:p>
            <w:pPr>
              <w:pStyle w:val="Compact"/>
              <w:jc w:val="left"/>
            </w:pPr>
            <w:r>
              <w:t xml:space="preserve">606,322.50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execution, 40% upon completion of equipment supply and physical installation, and 30% upon successful commissioning, final testing, and handover of all documentation. All payments shall be made in United Arab Emirates Dirhams (AED) via bank transfer to the designated account of Emirates Telecommunications Solutions LLC, Dubai, United Arab Emirates. Invoices are due within fourteen (14) calendar days of issuance.</w:t>
      </w:r>
    </w:p>
    <w:bookmarkEnd w:id="24"/>
    <w:bookmarkStart w:id="25" w:name="project-timeline"/>
    <w:p>
      <w:pPr>
        <w:pStyle w:val="Heading2"/>
      </w:pPr>
      <w:r>
        <w:t xml:space="preserve">5. Project Timeline</w:t>
      </w:r>
    </w:p>
    <w:p>
      <w:pPr>
        <w:pStyle w:val="FirstParagraph"/>
      </w:pPr>
      <w:r>
        <w:t xml:space="preserve">The</w:t>
      </w:r>
      <w:r>
        <w:t xml:space="preserve"> </w:t>
      </w:r>
      <w:r>
        <w:t xml:space="preserve">Telecommunication Engineer</w:t>
      </w:r>
      <w:r>
        <w:t xml:space="preserve"> </w:t>
      </w:r>
      <w:r>
        <w:t xml:space="preserve">and supporting team estimate a total project duration of eight (8) to ten (10) weeks from the date of contract signing, contingent upon timely approval of TDRA permits and availability of imported equipment. The schedule will be managed in accordance with the project milestones agreed upon in the Statement of Work annexed to this</w:t>
      </w:r>
      <w:r>
        <w:t xml:space="preserve"> </w:t>
      </w:r>
      <w:r>
        <w:t xml:space="preserve">Quotation Estimate</w:t>
      </w:r>
      <w:r>
        <w:t xml:space="preserve">.</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ninety (90) days from the date of issue. After this period, pricing may be subject to revision due to market fluctuations in equipment costs within the United Arab Emirates.</w:t>
      </w:r>
    </w:p>
    <w:p>
      <w:pPr>
        <w:numPr>
          <w:ilvl w:val="0"/>
          <w:numId w:val="1002"/>
        </w:numPr>
        <w:pStyle w:val="Compact"/>
      </w:pPr>
      <w:r>
        <w:t xml:space="preserve">All work performed by the</w:t>
      </w:r>
      <w:r>
        <w:t xml:space="preserve"> </w:t>
      </w:r>
      <w:r>
        <w:t xml:space="preserve">Telecommunication Engineer</w:t>
      </w:r>
      <w:r>
        <w:t xml:space="preserve"> </w:t>
      </w:r>
      <w:r>
        <w:t xml:space="preserve">is warranted for a period of twenty-four (24) months from the date of final commissioning, covering both materials and workmanship.</w:t>
      </w:r>
    </w:p>
    <w:p>
      <w:pPr>
        <w:numPr>
          <w:ilvl w:val="0"/>
          <w:numId w:val="1002"/>
        </w:numPr>
        <w:pStyle w:val="Compact"/>
      </w:pPr>
      <w:r>
        <w:t xml:space="preserve">The client shall provide safe access to the project site in Dubai, United Arab Emirates, and shall be responsible for any third-party permits not explicitly listed in this quotation.</w:t>
      </w:r>
    </w:p>
    <w:p>
      <w:pPr>
        <w:numPr>
          <w:ilvl w:val="0"/>
          <w:numId w:val="1002"/>
        </w:numPr>
        <w:pStyle w:val="Compact"/>
      </w:pPr>
      <w:r>
        <w:t xml:space="preserve">Any changes to the scope of work must be documented in a formal Change Order signed by both parties before execution.</w:t>
      </w:r>
    </w:p>
    <w:p>
      <w:pPr>
        <w:numPr>
          <w:ilvl w:val="0"/>
          <w:numId w:val="1002"/>
        </w:numPr>
        <w:pStyle w:val="Compact"/>
      </w:pPr>
      <w:r>
        <w:t xml:space="preserve">This agreement is governed by the laws of the United Arab Emirates, and any disputes shall be resolved through arbitration in Dubai under the rules of the Dubai International Arbitration Centre (DIAC).</w:t>
      </w:r>
    </w:p>
    <w:p>
      <w:pPr>
        <w:numPr>
          <w:ilvl w:val="0"/>
          <w:numId w:val="1002"/>
        </w:numPr>
        <w:pStyle w:val="Compact"/>
      </w:pPr>
      <w:r>
        <w:t xml:space="preserve">The</w:t>
      </w:r>
      <w:r>
        <w:t xml:space="preserve"> </w:t>
      </w:r>
      <w:r>
        <w:t xml:space="preserve">Telecommunication Engineer</w:t>
      </w:r>
      <w:r>
        <w:t xml:space="preserve"> </w:t>
      </w:r>
      <w:r>
        <w:t xml:space="preserve">shall maintain full professional indemnity and public liability insurance throughout the duration of the project.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Telecommunication Engineer</w:t>
      </w:r>
      <w:r>
        <w:t xml:space="preserve"> </w:t>
      </w:r>
      <w:r>
        <w:t xml:space="preserve">for the telecommunications project in</w:t>
      </w:r>
      <w:r>
        <w:t xml:space="preserve"> </w:t>
      </w:r>
      <w:r>
        <w:t xml:space="preserve">United Arab Emirates Dubai</w:t>
      </w:r>
      <w:r>
        <w:t xml:space="preserve">.</w:t>
      </w:r>
    </w:p>
    <w:p>
      <w:pPr>
        <w:pStyle w:val="BodyText"/>
      </w:pPr>
      <w:r>
        <w:rPr>
          <w:bCs/>
          <w:b/>
        </w:rPr>
        <w:t xml:space="preserve">For: Emirates Telecommunications Solutions LLC</w:t>
      </w:r>
    </w:p>
    <w:p>
      <w:pPr>
        <w:pStyle w:val="BodyText"/>
      </w:pPr>
      <w:r>
        <w:t xml:space="preserve">Name: _________________________</w:t>
      </w:r>
    </w:p>
    <w:p>
      <w:pPr>
        <w:pStyle w:val="BodyText"/>
      </w:pPr>
      <w:r>
        <w:t xml:space="preserve">Title: Chief Telecommunication Engineer</w:t>
      </w:r>
    </w:p>
    <w:p>
      <w:pPr>
        <w:pStyle w:val="BodyText"/>
      </w:pPr>
      <w:r>
        <w:t xml:space="preserve">Signature &amp; Date</w:t>
      </w:r>
    </w:p>
    <w:p>
      <w:pPr>
        <w:pStyle w:val="BodyText"/>
      </w:pPr>
      <w:r>
        <w:rPr>
          <w:bCs/>
          <w:b/>
        </w:rPr>
        <w:t xml:space="preserve">For: Client / Organization</w:t>
      </w:r>
    </w:p>
    <w:p>
      <w:pPr>
        <w:pStyle w:val="BodyText"/>
      </w:pPr>
      <w:r>
        <w:t xml:space="preserve">Name: _________________________</w:t>
      </w:r>
    </w:p>
    <w:p>
      <w:pPr>
        <w:pStyle w:val="BodyText"/>
      </w:pPr>
      <w:r>
        <w:t xml:space="preserve">Title: _________________________</w:t>
      </w:r>
    </w:p>
    <w:p>
      <w:pPr>
        <w:pStyle w:val="BodyText"/>
      </w:pPr>
      <w:r>
        <w:t xml:space="preserve">Signature &amp; Date</w:t>
      </w:r>
    </w:p>
    <w:p>
      <w:pPr>
        <w:pStyle w:val="BodyText"/>
      </w:pPr>
      <w:r>
        <w:rPr>
          <w:bCs/>
          <w:b/>
        </w:rPr>
        <w:t xml:space="preserve">Note:</w:t>
      </w:r>
      <w:r>
        <w:t xml:space="preserve"> </w:t>
      </w:r>
      <w:r>
        <w:t xml:space="preserve">This Quotation Estimate is a confidential commercial document prepared exclusively for the named client. It may not be reproduced, distributed, or used for any purpose other than the evaluation of the proposed Telecommunication Engineer services in United Arab Emirates Dubai without prior written consent from Emirates Telecommunications Solutions LLC. All prices are inclusive of materials and labour but exclusive of any municipal connection fees levied by Dubai Municipality or utility charges.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United Arab Emirates Dubai</dc:title>
  <dc:creator/>
  <dc:language>en</dc:language>
  <cp:keywords/>
  <dcterms:created xsi:type="dcterms:W3CDTF">2026-10-10T08:37:26Z</dcterms:created>
  <dcterms:modified xsi:type="dcterms:W3CDTF">2026-10-10T08:37:26Z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