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Telecommunication</w:t>
      </w:r>
      <w:r>
        <w:t xml:space="preserve"> </w:t>
      </w:r>
      <w:r>
        <w:t xml:space="preserve">Engineer</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Los</w:t>
      </w:r>
      <w:r>
        <w:t xml:space="preserve"> </w:t>
      </w:r>
      <w:r>
        <w:t xml:space="preserve">Angeles</w:t>
      </w:r>
    </w:p>
    <w:bookmarkStart w:id="20" w:name="quotation-estimate"/>
    <w:p>
      <w:pPr>
        <w:pStyle w:val="Heading1"/>
      </w:pPr>
      <w:r>
        <w:t xml:space="preserve">Quotation Estimate</w:t>
      </w:r>
    </w:p>
    <w:p>
      <w:pPr>
        <w:pStyle w:val="FirstParagraph"/>
      </w:pPr>
      <w:r>
        <w:rPr>
          <w:bCs/>
          <w:b/>
        </w:rPr>
        <w:t xml:space="preserve">Apex Telecommunications Solutions, Inc.</w:t>
      </w:r>
    </w:p>
    <w:p>
      <w:pPr>
        <w:pStyle w:val="BodyText"/>
      </w:pPr>
      <w:r>
        <w:t xml:space="preserve">4750 Wilshire Boulevard, Suite 1200, Los Angeles, CA 90036, United States</w:t>
      </w:r>
    </w:p>
    <w:p>
      <w:pPr>
        <w:pStyle w:val="BodyText"/>
      </w:pPr>
      <w:r>
        <w:t xml:space="preserve">Phone: (213) 555-0187 | Email: estimates@apextelecom.com</w:t>
      </w:r>
    </w:p>
    <w:p>
      <w:pPr>
        <w:pStyle w:val="BodyText"/>
      </w:pPr>
      <w:r>
        <w:t xml:space="preserve">CA Contractor License #884215 | EIN: 74-2839105</w:t>
      </w:r>
    </w:p>
    <w:bookmarkEnd w:id="20"/>
    <w:p>
      <w:pPr>
        <w:pStyle w:val="BodyText"/>
      </w:pPr>
      <w:r>
        <w:rPr>
          <w:bCs/>
          <w:b/>
        </w:rPr>
        <w:t xml:space="preserve">Quotation Estimate No.:</w:t>
      </w:r>
      <w:r>
        <w:t xml:space="preserve"> </w:t>
      </w:r>
      <w:r>
        <w:t xml:space="preserve">QTE-2025-04782</w:t>
      </w:r>
    </w:p>
    <w:p>
      <w:pPr>
        <w:pStyle w:val="BodyText"/>
      </w:pPr>
      <w:r>
        <w:rPr>
          <w:bCs/>
          <w:b/>
        </w:rPr>
        <w:t xml:space="preserve">Date Issued:</w:t>
      </w:r>
      <w:r>
        <w:t xml:space="preserve"> </w:t>
      </w:r>
      <w:r>
        <w:t xml:space="preserve">June 12, 2025</w:t>
      </w:r>
    </w:p>
    <w:p>
      <w:pPr>
        <w:pStyle w:val="BodyText"/>
      </w:pPr>
      <w:r>
        <w:rPr>
          <w:bCs/>
          <w:b/>
        </w:rPr>
        <w:t xml:space="preserve">Valid Until:</w:t>
      </w:r>
      <w:r>
        <w:t xml:space="preserve"> </w:t>
      </w:r>
      <w:r>
        <w:t xml:space="preserve">July 12, 2025</w:t>
      </w:r>
    </w:p>
    <w:p>
      <w:pPr>
        <w:pStyle w:val="BodyText"/>
      </w:pPr>
      <w:r>
        <w:rPr>
          <w:bCs/>
          <w:b/>
        </w:rPr>
        <w:t xml:space="preserve">Project Location:</w:t>
      </w:r>
      <w:r>
        <w:t xml:space="preserve"> </w:t>
      </w:r>
      <w:r>
        <w:t xml:space="preserve">United States Los Angeles</w:t>
      </w:r>
    </w:p>
    <w:bookmarkStart w:id="21" w:name="client-information"/>
    <w:p>
      <w:pPr>
        <w:pStyle w:val="Heading2"/>
      </w:pPr>
      <w:r>
        <w:t xml:space="preserve">1. Client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Client Name:</w:t>
            </w:r>
          </w:p>
        </w:tc>
        <w:tc>
          <w:tcPr/>
          <w:p>
            <w:pPr>
              <w:pStyle w:val="Compact"/>
              <w:jc w:val="left"/>
            </w:pPr>
            <w:r>
              <w:t xml:space="preserve">Meridian Commercial Properties, LLC</w:t>
            </w:r>
          </w:p>
        </w:tc>
      </w:tr>
      <w:tr>
        <w:tc>
          <w:tcPr/>
          <w:p>
            <w:pPr>
              <w:pStyle w:val="Compact"/>
              <w:jc w:val="left"/>
            </w:pPr>
            <w:r>
              <w:rPr>
                <w:bCs/>
                <w:b/>
              </w:rPr>
              <w:t xml:space="preserve">Project Address:</w:t>
            </w:r>
          </w:p>
        </w:tc>
        <w:tc>
          <w:tcPr/>
          <w:p>
            <w:pPr>
              <w:pStyle w:val="Compact"/>
              <w:jc w:val="left"/>
            </w:pPr>
            <w:r>
              <w:t xml:space="preserve">1200 S. Grand Avenue, Los Angeles, CA 90015, United States</w:t>
            </w:r>
          </w:p>
        </w:tc>
      </w:tr>
      <w:tr>
        <w:tc>
          <w:tcPr/>
          <w:p>
            <w:pPr>
              <w:pStyle w:val="Compact"/>
              <w:jc w:val="left"/>
            </w:pPr>
            <w:r>
              <w:rPr>
                <w:bCs/>
                <w:b/>
              </w:rPr>
              <w:t xml:space="preserve">Contact Person:</w:t>
            </w:r>
          </w:p>
        </w:tc>
        <w:tc>
          <w:tcPr/>
          <w:p>
            <w:pPr>
              <w:pStyle w:val="Compact"/>
              <w:jc w:val="left"/>
            </w:pPr>
            <w:r>
              <w:t xml:space="preserve">Mr. David Hartwell, Director of Facilities</w:t>
            </w:r>
          </w:p>
        </w:tc>
      </w:tr>
      <w:tr>
        <w:tc>
          <w:tcPr/>
          <w:p>
            <w:pPr>
              <w:pStyle w:val="Compact"/>
              <w:jc w:val="left"/>
            </w:pPr>
            <w:r>
              <w:rPr>
                <w:bCs/>
                <w:b/>
              </w:rPr>
              <w:t xml:space="preserve">Contact Email:</w:t>
            </w:r>
          </w:p>
        </w:tc>
        <w:tc>
          <w:tcPr/>
          <w:p>
            <w:pPr>
              <w:pStyle w:val="Compact"/>
              <w:jc w:val="left"/>
            </w:pPr>
            <w:r>
              <w:t xml:space="preserve">d.hartwell@meridiancp.com</w:t>
            </w:r>
          </w:p>
        </w:tc>
      </w:tr>
    </w:tbl>
    <w:bookmarkEnd w:id="21"/>
    <w:bookmarkStart w:id="22" w:name="X95067ef301e04c13d50963faee2dec0659d7053"/>
    <w:p>
      <w:pPr>
        <w:pStyle w:val="Heading2"/>
      </w:pPr>
      <w:r>
        <w:t xml:space="preserve">2. Scope of Work – Telecommunication Engineer Services</w:t>
      </w:r>
    </w:p>
    <w:p>
      <w:pPr>
        <w:pStyle w:val="FirstParagraph"/>
      </w:pPr>
      <w:r>
        <w:t xml:space="preserve">This</w:t>
      </w:r>
      <w:r>
        <w:t xml:space="preserve"> </w:t>
      </w:r>
      <w:r>
        <w:t xml:space="preserve">Quotation Estimate</w:t>
      </w:r>
      <w:r>
        <w:t xml:space="preserve"> </w:t>
      </w:r>
      <w:r>
        <w:t xml:space="preserve">is issued by Apex Telecommunications Solutions, Inc. to provide comprehensive professional services rendered by a licensed</w:t>
      </w:r>
      <w:r>
        <w:t xml:space="preserve"> </w:t>
      </w:r>
      <w:r>
        <w:t xml:space="preserve">Telecommunication Engineer</w:t>
      </w:r>
      <w:r>
        <w:t xml:space="preserve"> </w:t>
      </w:r>
      <w:r>
        <w:t xml:space="preserve">for the design, installation, testing, and commissioning of a multi-building telecommunications infrastructure at the Meridian Commercial Properties campus located in</w:t>
      </w:r>
      <w:r>
        <w:t xml:space="preserve"> </w:t>
      </w:r>
      <w:r>
        <w:t xml:space="preserve">United States Los Angeles</w:t>
      </w:r>
      <w:r>
        <w:t xml:space="preserve">. The scope encompasses fiber optic backbone deployment, structured cabling (Cat 6A and Cat 7), wireless LAN access point installation, VoIP telephony system integration, and full compliance with the California Electrical Code and FCC regulations applicable to the Los Angeles metropolitan area.</w:t>
      </w:r>
    </w:p>
    <w:p>
      <w:pPr>
        <w:pStyle w:val="BodyText"/>
      </w:pPr>
      <w:r>
        <w:t xml:space="preserve">The assigned</w:t>
      </w:r>
      <w:r>
        <w:t xml:space="preserve"> </w:t>
      </w:r>
      <w:r>
        <w:t xml:space="preserve">Telecommunication Engineer</w:t>
      </w:r>
      <w:r>
        <w:t xml:space="preserve">, Mr. Robert Chen, P.E. (California License #104829), will serve as the primary point of contact and technical authority throughout the project duration. All engineering deliverables, including as-built drawings, network topology diagrams, and performance test reports, will be prepared in accordance with TIA/EIA-568 and BICSI standards.</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 / Deliverable</w:t>
            </w:r>
          </w:p>
        </w:tc>
        <w:tc>
          <w:tcPr/>
          <w:p>
            <w:pPr>
              <w:pStyle w:val="Compact"/>
              <w:jc w:val="left"/>
            </w:pPr>
            <w:r>
              <w:t xml:space="preserve">Qty</w:t>
            </w:r>
          </w:p>
        </w:tc>
        <w:tc>
          <w:tcPr/>
          <w:p>
            <w:pPr>
              <w:pStyle w:val="Compact"/>
              <w:jc w:val="left"/>
            </w:pPr>
            <w:r>
              <w:t xml:space="preserve">Unit Rate (USD)</w:t>
            </w:r>
          </w:p>
        </w:tc>
        <w:tc>
          <w:tcPr/>
          <w:p>
            <w:pPr>
              <w:pStyle w:val="Compact"/>
              <w:jc w:val="left"/>
            </w:pPr>
            <w:r>
              <w:t xml:space="preserve">Amount (USD)</w:t>
            </w:r>
          </w:p>
        </w:tc>
      </w:tr>
      <w:tr>
        <w:tc>
          <w:tcPr/>
          <w:p>
            <w:pPr>
              <w:pStyle w:val="Compact"/>
              <w:jc w:val="left"/>
            </w:pPr>
            <w:r>
              <w:t xml:space="preserve">01</w:t>
            </w:r>
          </w:p>
        </w:tc>
        <w:tc>
          <w:tcPr/>
          <w:p>
            <w:pPr>
              <w:pStyle w:val="Compact"/>
              <w:jc w:val="left"/>
            </w:pPr>
            <w:r>
              <w:t xml:space="preserve">Site survey and feasibility assessment by Telecommunication Engineer at the United States Los Angeles project site (includes RF propagation study and existing infrastructure audit)</w:t>
            </w:r>
          </w:p>
        </w:tc>
        <w:tc>
          <w:tcPr/>
          <w:p>
            <w:pPr>
              <w:pStyle w:val="Compact"/>
              <w:jc w:val="left"/>
            </w:pPr>
            <w:r>
              <w:t xml:space="preserve">1</w:t>
            </w:r>
          </w:p>
        </w:tc>
        <w:tc>
          <w:tcPr/>
          <w:p>
            <w:pPr>
              <w:pStyle w:val="Compact"/>
              <w:jc w:val="left"/>
            </w:pPr>
            <w:r>
              <w:t xml:space="preserve">$4,800.00</w:t>
            </w:r>
          </w:p>
        </w:tc>
        <w:tc>
          <w:tcPr/>
          <w:p>
            <w:pPr>
              <w:pStyle w:val="Compact"/>
              <w:jc w:val="left"/>
            </w:pPr>
            <w:r>
              <w:t xml:space="preserve">$4,800.00</w:t>
            </w:r>
          </w:p>
        </w:tc>
      </w:tr>
      <w:tr>
        <w:tc>
          <w:tcPr/>
          <w:p>
            <w:pPr>
              <w:pStyle w:val="Compact"/>
              <w:jc w:val="left"/>
            </w:pPr>
            <w:r>
              <w:t xml:space="preserve">02</w:t>
            </w:r>
          </w:p>
        </w:tc>
        <w:tc>
          <w:tcPr/>
          <w:p>
            <w:pPr>
              <w:pStyle w:val="Compact"/>
              <w:jc w:val="left"/>
            </w:pPr>
            <w:r>
              <w:t xml:space="preserve">Telecommunication network design and engineering documentation (fiber backbone, structured cabling, wireless coverage plan, VoIP architecture) – 3 revision cycles included</w:t>
            </w:r>
          </w:p>
        </w:tc>
        <w:tc>
          <w:tcPr/>
          <w:p>
            <w:pPr>
              <w:pStyle w:val="Compact"/>
              <w:jc w:val="left"/>
            </w:pPr>
            <w:r>
              <w:t xml:space="preserve">1</w:t>
            </w:r>
          </w:p>
        </w:tc>
        <w:tc>
          <w:tcPr/>
          <w:p>
            <w:pPr>
              <w:pStyle w:val="Compact"/>
              <w:jc w:val="left"/>
            </w:pPr>
            <w:r>
              <w:t xml:space="preserve">$12,500.00</w:t>
            </w:r>
          </w:p>
        </w:tc>
        <w:tc>
          <w:tcPr/>
          <w:p>
            <w:pPr>
              <w:pStyle w:val="Compact"/>
              <w:jc w:val="left"/>
            </w:pPr>
            <w:r>
              <w:t xml:space="preserve">$12,500.00</w:t>
            </w:r>
          </w:p>
        </w:tc>
      </w:tr>
      <w:tr>
        <w:tc>
          <w:tcPr/>
          <w:p>
            <w:pPr>
              <w:pStyle w:val="Compact"/>
              <w:jc w:val="left"/>
            </w:pPr>
            <w:r>
              <w:t xml:space="preserve">03</w:t>
            </w:r>
          </w:p>
        </w:tc>
        <w:tc>
          <w:tcPr/>
          <w:p>
            <w:pPr>
              <w:pStyle w:val="Compact"/>
              <w:jc w:val="left"/>
            </w:pPr>
            <w:r>
              <w:t xml:space="preserve">Fiber optic backbone installation – 144-strand single-mode fiber, 2,400 linear feet across three buildings, including splice closures and patch panels</w:t>
            </w:r>
          </w:p>
        </w:tc>
        <w:tc>
          <w:tcPr/>
          <w:p>
            <w:pPr>
              <w:pStyle w:val="Compact"/>
              <w:jc w:val="left"/>
            </w:pPr>
            <w:r>
              <w:t xml:space="preserve">2,400 LF</w:t>
            </w:r>
          </w:p>
        </w:tc>
        <w:tc>
          <w:tcPr/>
          <w:p>
            <w:pPr>
              <w:pStyle w:val="Compact"/>
              <w:jc w:val="left"/>
            </w:pPr>
            <w:r>
              <w:t xml:space="preserve">$18.75</w:t>
            </w:r>
          </w:p>
        </w:tc>
        <w:tc>
          <w:tcPr/>
          <w:p>
            <w:pPr>
              <w:pStyle w:val="Compact"/>
              <w:jc w:val="left"/>
            </w:pPr>
            <w:r>
              <w:t xml:space="preserve">$45,000.00</w:t>
            </w:r>
          </w:p>
        </w:tc>
      </w:tr>
      <w:tr>
        <w:tc>
          <w:tcPr/>
          <w:p>
            <w:pPr>
              <w:pStyle w:val="Compact"/>
              <w:jc w:val="left"/>
            </w:pPr>
            <w:r>
              <w:t xml:space="preserve">04</w:t>
            </w:r>
          </w:p>
        </w:tc>
        <w:tc>
          <w:tcPr/>
          <w:p>
            <w:pPr>
              <w:pStyle w:val="Compact"/>
              <w:jc w:val="left"/>
            </w:pPr>
            <w:r>
              <w:t xml:space="preserve">Structured cabling installation – Cat 6A UTP, 1,200 outlets with horizontal runs, patch panels, and labeling per TIA-606-B</w:t>
            </w:r>
          </w:p>
        </w:tc>
        <w:tc>
          <w:tcPr/>
          <w:p>
            <w:pPr>
              <w:pStyle w:val="Compact"/>
              <w:jc w:val="left"/>
            </w:pPr>
            <w:r>
              <w:t xml:space="preserve">1,200</w:t>
            </w:r>
          </w:p>
        </w:tc>
        <w:tc>
          <w:tcPr/>
          <w:p>
            <w:pPr>
              <w:pStyle w:val="Compact"/>
              <w:jc w:val="left"/>
            </w:pPr>
            <w:r>
              <w:t xml:space="preserve">$95.00</w:t>
            </w:r>
          </w:p>
        </w:tc>
        <w:tc>
          <w:tcPr/>
          <w:p>
            <w:pPr>
              <w:pStyle w:val="Compact"/>
              <w:jc w:val="left"/>
            </w:pPr>
            <w:r>
              <w:t xml:space="preserve">$114,000.00</w:t>
            </w:r>
          </w:p>
        </w:tc>
      </w:tr>
      <w:tr>
        <w:tc>
          <w:tcPr/>
          <w:p>
            <w:pPr>
              <w:pStyle w:val="Compact"/>
              <w:jc w:val="left"/>
            </w:pPr>
            <w:r>
              <w:t xml:space="preserve">05</w:t>
            </w:r>
          </w:p>
        </w:tc>
        <w:tc>
          <w:tcPr/>
          <w:p>
            <w:pPr>
              <w:pStyle w:val="Compact"/>
              <w:jc w:val="left"/>
            </w:pPr>
            <w:r>
              <w:t xml:space="preserve">Wireless LAN deployment – 86 enterprise-grade access points (Wi-Fi 6E), controllers, and site-specific RF optimization by Telecommunication Engineer</w:t>
            </w:r>
          </w:p>
        </w:tc>
        <w:tc>
          <w:tcPr/>
          <w:p>
            <w:pPr>
              <w:pStyle w:val="Compact"/>
              <w:jc w:val="left"/>
            </w:pPr>
            <w:r>
              <w:t xml:space="preserve">1</w:t>
            </w:r>
          </w:p>
        </w:tc>
        <w:tc>
          <w:tcPr/>
          <w:p>
            <w:pPr>
              <w:pStyle w:val="Compact"/>
              <w:jc w:val="left"/>
            </w:pPr>
            <w:r>
              <w:t xml:space="preserve">$38,200.00</w:t>
            </w:r>
          </w:p>
        </w:tc>
        <w:tc>
          <w:tcPr/>
          <w:p>
            <w:pPr>
              <w:pStyle w:val="Compact"/>
              <w:jc w:val="left"/>
            </w:pPr>
            <w:r>
              <w:t xml:space="preserve">$38,200.00</w:t>
            </w:r>
          </w:p>
        </w:tc>
      </w:tr>
      <w:tr>
        <w:tc>
          <w:tcPr/>
          <w:p>
            <w:pPr>
              <w:pStyle w:val="Compact"/>
              <w:jc w:val="left"/>
            </w:pPr>
            <w:r>
              <w:t xml:space="preserve">06</w:t>
            </w:r>
          </w:p>
        </w:tc>
        <w:tc>
          <w:tcPr/>
          <w:p>
            <w:pPr>
              <w:pStyle w:val="Compact"/>
              <w:jc w:val="left"/>
            </w:pPr>
            <w:r>
              <w:t xml:space="preserve">VoIP telephony system integration – 350 extensions, PBX gateway, SIP trunking configuration, and call routing design</w:t>
            </w:r>
          </w:p>
        </w:tc>
        <w:tc>
          <w:tcPr/>
          <w:p>
            <w:pPr>
              <w:pStyle w:val="Compact"/>
              <w:jc w:val="left"/>
            </w:pPr>
            <w:r>
              <w:t xml:space="preserve">1</w:t>
            </w:r>
          </w:p>
        </w:tc>
        <w:tc>
          <w:tcPr/>
          <w:p>
            <w:pPr>
              <w:pStyle w:val="Compact"/>
              <w:jc w:val="left"/>
            </w:pPr>
            <w:r>
              <w:t xml:space="preserve">$27,600.00</w:t>
            </w:r>
          </w:p>
        </w:tc>
        <w:tc>
          <w:tcPr/>
          <w:p>
            <w:pPr>
              <w:pStyle w:val="Compact"/>
              <w:jc w:val="left"/>
            </w:pPr>
            <w:r>
              <w:t xml:space="preserve">$27,600.00</w:t>
            </w:r>
          </w:p>
        </w:tc>
      </w:tr>
      <w:tr>
        <w:tc>
          <w:tcPr/>
          <w:p>
            <w:pPr>
              <w:pStyle w:val="Compact"/>
              <w:jc w:val="left"/>
            </w:pPr>
            <w:r>
              <w:t xml:space="preserve">07</w:t>
            </w:r>
          </w:p>
        </w:tc>
        <w:tc>
          <w:tcPr/>
          <w:p>
            <w:pPr>
              <w:pStyle w:val="Compact"/>
              <w:jc w:val="left"/>
            </w:pPr>
            <w:r>
              <w:t xml:space="preserve">Testing, certification, and commissioning – Fluke DSX-5000 certification of all copper and fiber links, wireless heat mapping, and system performance validation</w:t>
            </w:r>
          </w:p>
        </w:tc>
        <w:tc>
          <w:tcPr/>
          <w:p>
            <w:pPr>
              <w:pStyle w:val="Compact"/>
              <w:jc w:val="left"/>
            </w:pPr>
            <w:r>
              <w:t xml:space="preserve">1</w:t>
            </w:r>
          </w:p>
        </w:tc>
        <w:tc>
          <w:tcPr/>
          <w:p>
            <w:pPr>
              <w:pStyle w:val="Compact"/>
              <w:jc w:val="left"/>
            </w:pPr>
            <w:r>
              <w:t xml:space="preserve">$9,400.00</w:t>
            </w:r>
          </w:p>
        </w:tc>
        <w:tc>
          <w:tcPr/>
          <w:p>
            <w:pPr>
              <w:pStyle w:val="Compact"/>
              <w:jc w:val="left"/>
            </w:pPr>
            <w:r>
              <w:t xml:space="preserve">$9,400.00</w:t>
            </w:r>
          </w:p>
        </w:tc>
      </w:tr>
      <w:tr>
        <w:tc>
          <w:tcPr/>
          <w:p>
            <w:pPr>
              <w:pStyle w:val="Compact"/>
              <w:jc w:val="left"/>
            </w:pPr>
            <w:r>
              <w:t xml:space="preserve">08</w:t>
            </w:r>
          </w:p>
        </w:tc>
        <w:tc>
          <w:tcPr/>
          <w:p>
            <w:pPr>
              <w:pStyle w:val="Compact"/>
              <w:jc w:val="left"/>
            </w:pPr>
            <w:r>
              <w:t xml:space="preserve">Permitting, code compliance review, and coordination with Los Angeles Department of Building and Safety (LADBS) and local utility providers</w:t>
            </w:r>
          </w:p>
        </w:tc>
        <w:tc>
          <w:tcPr/>
          <w:p>
            <w:pPr>
              <w:pStyle w:val="Compact"/>
              <w:jc w:val="left"/>
            </w:pPr>
            <w:r>
              <w:t xml:space="preserve">1</w:t>
            </w:r>
          </w:p>
        </w:tc>
        <w:tc>
          <w:tcPr/>
          <w:p>
            <w:pPr>
              <w:pStyle w:val="Compact"/>
              <w:jc w:val="left"/>
            </w:pPr>
            <w:r>
              <w:t xml:space="preserve">$6,200.00</w:t>
            </w:r>
          </w:p>
        </w:tc>
        <w:tc>
          <w:tcPr/>
          <w:p>
            <w:pPr>
              <w:pStyle w:val="Compact"/>
              <w:jc w:val="left"/>
            </w:pPr>
            <w:r>
              <w:t xml:space="preserve">$6,200.00</w:t>
            </w:r>
          </w:p>
        </w:tc>
      </w:tr>
      <w:tr>
        <w:tc>
          <w:tcPr/>
          <w:p>
            <w:pPr>
              <w:pStyle w:val="Compact"/>
              <w:jc w:val="left"/>
            </w:pPr>
            <w:r>
              <w:t xml:space="preserve">09</w:t>
            </w:r>
          </w:p>
        </w:tc>
        <w:tc>
          <w:tcPr/>
          <w:p>
            <w:pPr>
              <w:pStyle w:val="Compact"/>
              <w:jc w:val="left"/>
            </w:pPr>
            <w:r>
              <w:t xml:space="preserve">Project management, progress reporting, and on-site supervision by Telecommunication Engineer (estimated 14-week duration)</w:t>
            </w:r>
          </w:p>
        </w:tc>
        <w:tc>
          <w:tcPr/>
          <w:p>
            <w:pPr>
              <w:pStyle w:val="Compact"/>
              <w:jc w:val="left"/>
            </w:pPr>
            <w:r>
              <w:t xml:space="preserve">14 wks</w:t>
            </w:r>
          </w:p>
        </w:tc>
        <w:tc>
          <w:tcPr/>
          <w:p>
            <w:pPr>
              <w:pStyle w:val="Compact"/>
              <w:jc w:val="left"/>
            </w:pPr>
            <w:r>
              <w:t xml:space="preserve">$3,100.00</w:t>
            </w:r>
          </w:p>
        </w:tc>
        <w:tc>
          <w:tcPr/>
          <w:p>
            <w:pPr>
              <w:pStyle w:val="Compact"/>
              <w:jc w:val="left"/>
            </w:pPr>
            <w:r>
              <w:t xml:space="preserve">$43,400.00</w:t>
            </w:r>
          </w:p>
        </w:tc>
      </w:tr>
      <w:tr>
        <w:tc>
          <w:tcPr/>
          <w:p>
            <w:pPr>
              <w:pStyle w:val="Compact"/>
              <w:jc w:val="left"/>
            </w:pPr>
            <w:r>
              <w:t xml:space="preserve">10</w:t>
            </w:r>
          </w:p>
        </w:tc>
        <w:tc>
          <w:tcPr/>
          <w:p>
            <w:pPr>
              <w:pStyle w:val="Compact"/>
              <w:jc w:val="left"/>
            </w:pPr>
            <w:r>
              <w:t xml:space="preserve">As-built documentation, O&amp;M manuals, and 12-month warranty support for all installed telecommunications systems</w:t>
            </w:r>
          </w:p>
        </w:tc>
        <w:tc>
          <w:tcPr/>
          <w:p>
            <w:pPr>
              <w:pStyle w:val="Compact"/>
              <w:jc w:val="left"/>
            </w:pPr>
            <w:r>
              <w:t xml:space="preserve">1</w:t>
            </w:r>
          </w:p>
        </w:tc>
        <w:tc>
          <w:tcPr/>
          <w:p>
            <w:pPr>
              <w:pStyle w:val="Compact"/>
              <w:jc w:val="left"/>
            </w:pPr>
            <w:r>
              <w:t xml:space="preserve">$5,800.00</w:t>
            </w:r>
          </w:p>
        </w:tc>
        <w:tc>
          <w:tcPr/>
          <w:p>
            <w:pPr>
              <w:pStyle w:val="Compact"/>
              <w:jc w:val="left"/>
            </w:pPr>
            <w:r>
              <w:t xml:space="preserve">$5,800.00</w:t>
            </w:r>
          </w:p>
        </w:tc>
      </w:tr>
      <w:tr>
        <w:tc>
          <w:tcPr>
            <w:gridSpan w:val="4"/>
          </w:tcPr>
          <w:p>
            <w:pPr>
              <w:pStyle w:val="Compact"/>
              <w:jc w:val="right"/>
            </w:pPr>
            <w:r>
              <w:t xml:space="preserve">Subtotal</w:t>
            </w:r>
          </w:p>
        </w:tc>
        <w:tc>
          <w:tcPr/>
          <w:p>
            <w:pPr>
              <w:pStyle w:val="Compact"/>
              <w:jc w:val="left"/>
            </w:pPr>
            <w:r>
              <w:t xml:space="preserve">$307,900.00</w:t>
            </w:r>
          </w:p>
        </w:tc>
      </w:tr>
      <w:tr>
        <w:tc>
          <w:tcPr>
            <w:gridSpan w:val="4"/>
          </w:tcPr>
          <w:p>
            <w:pPr>
              <w:pStyle w:val="Compact"/>
              <w:jc w:val="right"/>
            </w:pPr>
            <w:r>
              <w:t xml:space="preserve">Applicable Sales Tax (9.5% – Los Angeles County, CA)</w:t>
            </w:r>
          </w:p>
        </w:tc>
        <w:tc>
          <w:tcPr/>
          <w:p>
            <w:pPr>
              <w:pStyle w:val="Compact"/>
              <w:jc w:val="left"/>
            </w:pPr>
            <w:r>
              <w:t xml:space="preserve">$29,250.50</w:t>
            </w:r>
          </w:p>
        </w:tc>
      </w:tr>
      <w:tr>
        <w:tc>
          <w:tcPr>
            <w:gridSpan w:val="4"/>
          </w:tcPr>
          <w:p>
            <w:pPr>
              <w:pStyle w:val="Compact"/>
              <w:jc w:val="right"/>
            </w:pPr>
            <w:r>
              <w:t xml:space="preserve">TOTAL ESTIMATED COST</w:t>
            </w:r>
          </w:p>
        </w:tc>
        <w:tc>
          <w:tcPr/>
          <w:p>
            <w:pPr>
              <w:pStyle w:val="Compact"/>
              <w:jc w:val="left"/>
            </w:pPr>
            <w:r>
              <w:t xml:space="preserve">$337,150.50</w:t>
            </w:r>
          </w:p>
        </w:tc>
      </w:tr>
    </w:tbl>
    <w:bookmarkEnd w:id="23"/>
    <w:bookmarkStart w:id="24" w:name="terms-and-conditions"/>
    <w:p>
      <w:pPr>
        <w:pStyle w:val="Heading2"/>
      </w:pPr>
      <w:r>
        <w:t xml:space="preserve">4. Terms and Conditions</w:t>
      </w:r>
    </w:p>
    <w:p>
      <w:pPr>
        <w:numPr>
          <w:ilvl w:val="0"/>
          <w:numId w:val="1001"/>
        </w:numPr>
        <w:pStyle w:val="Compact"/>
      </w:pPr>
      <w:r>
        <w:t xml:space="preserve">This</w:t>
      </w:r>
      <w:r>
        <w:t xml:space="preserve"> </w:t>
      </w:r>
      <w:r>
        <w:t xml:space="preserve">Quotation Estimate</w:t>
      </w:r>
      <w:r>
        <w:t xml:space="preserve"> </w:t>
      </w:r>
      <w:r>
        <w:t xml:space="preserve">is valid for thirty (30) calendar days from the date of issue. After the expiration date, pricing may be adjusted to reflect changes in material costs, labor rates, or regulatory requirements in the</w:t>
      </w:r>
      <w:r>
        <w:t xml:space="preserve"> </w:t>
      </w:r>
      <w:r>
        <w:t xml:space="preserve">United States Los Angeles</w:t>
      </w:r>
      <w:r>
        <w:t xml:space="preserve"> </w:t>
      </w:r>
      <w:r>
        <w:t xml:space="preserve">market.</w:t>
      </w:r>
    </w:p>
    <w:p>
      <w:pPr>
        <w:numPr>
          <w:ilvl w:val="0"/>
          <w:numId w:val="1001"/>
        </w:numPr>
        <w:pStyle w:val="Compact"/>
      </w:pPr>
      <w:r>
        <w:t xml:space="preserve">Payment terms: 30% deposit upon execution of the contract, 40% progress payment at the midpoint of installation, and 30% final payment upon successful commissioning and delivery of all as-built documentation.</w:t>
      </w:r>
    </w:p>
    <w:p>
      <w:pPr>
        <w:numPr>
          <w:ilvl w:val="0"/>
          <w:numId w:val="1001"/>
        </w:numPr>
        <w:pStyle w:val="Compact"/>
      </w:pPr>
      <w:r>
        <w:t xml:space="preserve">All work performed by the</w:t>
      </w:r>
      <w:r>
        <w:t xml:space="preserve"> </w:t>
      </w:r>
      <w:r>
        <w:t xml:space="preserve">Telecommunication Engineer</w:t>
      </w:r>
      <w:r>
        <w:t xml:space="preserve"> </w:t>
      </w:r>
      <w:r>
        <w:t xml:space="preserve">and associated technicians shall comply with the California Business and Professions Code, the National Electrical Code (NEC 2023), and all applicable Los Angeles municipal ordinances.</w:t>
      </w:r>
    </w:p>
    <w:p>
      <w:pPr>
        <w:numPr>
          <w:ilvl w:val="0"/>
          <w:numId w:val="1001"/>
        </w:numPr>
        <w:pStyle w:val="Compact"/>
      </w:pPr>
      <w:r>
        <w:t xml:space="preserve">The</w:t>
      </w:r>
      <w:r>
        <w:t xml:space="preserve"> </w:t>
      </w:r>
      <w:r>
        <w:t xml:space="preserve">Telecommunication Engineer</w:t>
      </w:r>
      <w:r>
        <w:t xml:space="preserve"> </w:t>
      </w:r>
      <w:r>
        <w:t xml:space="preserve">shall carry a minimum of $2,000,000 in general liability insurance and $1,000,000 in professional liability (errors and omissions) insurance, naming the client as an additional insured.</w:t>
      </w:r>
    </w:p>
    <w:p>
      <w:pPr>
        <w:numPr>
          <w:ilvl w:val="0"/>
          <w:numId w:val="1001"/>
        </w:numPr>
        <w:pStyle w:val="Compact"/>
      </w:pPr>
      <w:r>
        <w:t xml:space="preserve">Any change in scope beyond the parameters described in this</w:t>
      </w:r>
      <w:r>
        <w:t xml:space="preserve"> </w:t>
      </w:r>
      <w:r>
        <w:t xml:space="preserve">Quotation Estimate</w:t>
      </w:r>
      <w:r>
        <w:t xml:space="preserve"> </w:t>
      </w:r>
      <w:r>
        <w:t xml:space="preserve">shall be subject to a written change order signed by both parties prior to execution of additional work.</w:t>
      </w:r>
    </w:p>
    <w:p>
      <w:pPr>
        <w:numPr>
          <w:ilvl w:val="0"/>
          <w:numId w:val="1001"/>
        </w:numPr>
        <w:pStyle w:val="Compact"/>
      </w:pPr>
      <w:r>
        <w:t xml:space="preserve">Warranty: All installed telecommunications infrastructure is warranted for a period of twelve (12) months from the date of final acceptance, covering workmanship defects. Manufacturer warranties on equipment (cables, access points, patch panels) remain in effect per the respective vendor terms.</w:t>
      </w:r>
    </w:p>
    <w:p>
      <w:pPr>
        <w:numPr>
          <w:ilvl w:val="0"/>
          <w:numId w:val="1001"/>
        </w:numPr>
        <w:pStyle w:val="Compact"/>
      </w:pPr>
      <w:r>
        <w:t xml:space="preserve">This</w:t>
      </w:r>
      <w:r>
        <w:t xml:space="preserve"> </w:t>
      </w:r>
      <w:r>
        <w:t xml:space="preserve">Quotation Estimate</w:t>
      </w:r>
      <w:r>
        <w:t xml:space="preserve"> </w:t>
      </w:r>
      <w:r>
        <w:t xml:space="preserve">does not constitute a binding contract until a formal agreement is executed by both parties. Apex Telecommunications Solutions, Inc. reserves the right to decline any project at its discretion prior to contract execution.</w:t>
      </w:r>
    </w:p>
    <w:p>
      <w:pPr>
        <w:numPr>
          <w:ilvl w:val="0"/>
          <w:numId w:val="1001"/>
        </w:numPr>
        <w:pStyle w:val="Compact"/>
      </w:pPr>
      <w:r>
        <w:t xml:space="preserve">Disputes arising from this engagement shall be governed by the laws of the State of California and resolved through binding arbitration in Los Angeles County, United States.</w:t>
      </w:r>
    </w:p>
    <w:p>
      <w:pPr>
        <w:pStyle w:val="FirstParagraph"/>
      </w:pPr>
      <w:r>
        <w:rPr>
          <w:bCs/>
          <w:b/>
        </w:rPr>
        <w:t xml:space="preserve">Note:</w:t>
      </w:r>
      <w:r>
        <w:t xml:space="preserve"> </w:t>
      </w:r>
      <w:r>
        <w:t xml:space="preserve">This Quotation Estimate assumes standard business-hour access to the project site (Monday through Friday, 7:00 AM to 6:00 PM Pacific Time). After-hours or weekend work, if required by the client's operational schedule, will be billed at 1.5× the standard Telecommunication Engineer hourly rate of $185.00. All prices are in United States Dollars (USD) and are exclusive of any special equipment rental fees exceeding $2,000 per item, which will be itemized separately upon request.</w:t>
      </w:r>
    </w:p>
    <w:bookmarkEnd w:id="24"/>
    <w:bookmarkStart w:id="25" w:name="acceptance-and-authorization"/>
    <w:p>
      <w:pPr>
        <w:pStyle w:val="Heading2"/>
      </w:pPr>
      <w:r>
        <w:t xml:space="preserve">5. 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and authorizes Apex Telecommunications Solutions, Inc. to proceed with the</w:t>
      </w:r>
      <w:r>
        <w:t xml:space="preserve"> </w:t>
      </w:r>
      <w:r>
        <w:t xml:space="preserve">Telecommunication Engineer</w:t>
      </w:r>
      <w:r>
        <w:t xml:space="preserve"> </w:t>
      </w:r>
      <w:r>
        <w:t xml:space="preserve">services as described herein for the project located in</w:t>
      </w:r>
      <w:r>
        <w:t xml:space="preserve"> </w:t>
      </w:r>
      <w:r>
        <w:t xml:space="preserve">United States Los Angeles</w:t>
      </w:r>
      <w:r>
        <w:t xml:space="preserve">.</w:t>
      </w:r>
    </w:p>
    <w:p>
      <w:pPr>
        <w:pStyle w:val="BodyText"/>
      </w:pPr>
      <w:r>
        <w:rPr>
          <w:bCs/>
          <w:b/>
        </w:rPr>
        <w:t xml:space="preserve">For Apex Telecommunications Solutions, Inc.</w:t>
      </w:r>
      <w:r>
        <w:br/>
      </w:r>
      <w:r>
        <w:t xml:space="preserve">Robert Chen, P.E. – Lead Telecommunication Engineer</w:t>
      </w:r>
      <w:r>
        <w:br/>
      </w:r>
      <w:r>
        <w:t xml:space="preserve">Date: ______________________</w:t>
      </w:r>
    </w:p>
    <w:p>
      <w:pPr>
        <w:pStyle w:val="BodyText"/>
      </w:pPr>
      <w:r>
        <w:rPr>
          <w:bCs/>
          <w:b/>
        </w:rPr>
        <w:t xml:space="preserve">For Meridian Commercial Properties, LLC</w:t>
      </w:r>
      <w:r>
        <w:br/>
      </w:r>
      <w:r>
        <w:t xml:space="preserve">David Hartwell – Director of Facilities</w:t>
      </w:r>
      <w:r>
        <w:br/>
      </w:r>
      <w:r>
        <w:t xml:space="preserve">Date: ______________________</w:t>
      </w:r>
    </w:p>
    <w:p>
      <w:pPr>
        <w:pStyle w:val="BodyText"/>
      </w:pPr>
      <w:r>
        <w:t xml:space="preserve">Apex Telecommunications Solutions, Inc. | 4750 Wilshire Blvd, Suite 1200, Los Angeles, CA 90036 | United States</w:t>
      </w:r>
    </w:p>
    <w:p>
      <w:pPr>
        <w:pStyle w:val="BodyText"/>
      </w:pPr>
      <w:r>
        <w:t xml:space="preserve">Quotation Estimate No. QTE-2025-04782 | Page 1 of 1 | Generated June 12, 2025</w:t>
      </w:r>
    </w:p>
    <w:p>
      <w:pPr>
        <w:pStyle w:val="BodyText"/>
      </w:pPr>
      <w:r>
        <w:t xml:space="preserve">This document is confidential and intended solely for the named recipient. Unauthorized reproduction or distribution is prohibited.</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Telecommunication Engineer Services - United States Los Angeles</dc:title>
  <dc:creator/>
  <dc:language>en</dc:language>
  <cp:keywords/>
  <dcterms:created xsi:type="dcterms:W3CDTF">2026-10-10T03:52:29Z</dcterms:created>
  <dcterms:modified xsi:type="dcterms:W3CDTF">2026-10-10T03:52:29Z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