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pex-telecommunications-solutions-inc."/>
    <w:p>
      <w:pPr>
        <w:pStyle w:val="Heading1"/>
      </w:pPr>
      <w:r>
        <w:t xml:space="preserve">Apex Telecommunications Solutions, Inc.</w:t>
      </w:r>
    </w:p>
    <w:p>
      <w:pPr>
        <w:pStyle w:val="FirstParagraph"/>
      </w:pPr>
      <w:r>
        <w:t xml:space="preserve">1200 Biscayne Boulevard, Suite 450, Miami, Florida 33132, United States</w:t>
      </w:r>
    </w:p>
    <w:p>
      <w:pPr>
        <w:pStyle w:val="BodyText"/>
      </w:pPr>
      <w:r>
        <w:t xml:space="preserve">Phone: (305) 555-0142  |  Email: estimates@apextelecom-miami.com  |  Tax ID: 82-4471903</w:t>
      </w:r>
    </w:p>
    <w:p>
      <w:pPr>
        <w:pStyle w:val="BodyText"/>
      </w:pPr>
      <w:r>
        <w:t xml:space="preserve">Florida Professional Services License No. C-1048821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QTE-2025-MIA-00847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For:</w:t>
      </w:r>
      <w:r>
        <w:t xml:space="preserve"> </w:t>
      </w:r>
      <w:r>
        <w:t xml:space="preserve">United States Miami Region Projects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Miami, FL 33101, United States</w:t>
      </w:r>
    </w:p>
    <w:p>
      <w:pPr>
        <w:pStyle w:val="BodyText"/>
      </w:pPr>
      <w:r>
        <w:rPr>
          <w:bCs/>
          <w:b/>
        </w:rPr>
        <w:t xml:space="preserve">Project Site:</w:t>
      </w:r>
      <w:r>
        <w:t xml:space="preserve"> </w:t>
      </w:r>
      <w:r>
        <w:t xml:space="preserve">[Site Address], Miami-Dade County, Florida</w:t>
      </w:r>
    </w:p>
    <w:p>
      <w:pPr>
        <w:pStyle w:val="BodyText"/>
      </w:pPr>
      <w:r>
        <w:rPr>
          <w:bCs/>
          <w:b/>
        </w:rPr>
        <w:t xml:space="preserve">Point of Contact:</w:t>
      </w:r>
      <w:r>
        <w:t xml:space="preserve"> </w:t>
      </w:r>
      <w:r>
        <w:t xml:space="preserve">[Name], [Title]</w:t>
      </w:r>
    </w:p>
    <w:bookmarkEnd w:id="22"/>
    <w:p>
      <w:pPr>
        <w:pStyle w:val="BodyText"/>
      </w:pPr>
      <w:r>
        <w:t xml:space="preserve">This</w:t>
      </w:r>
      <w:r>
        <w:t xml:space="preserve"> </w:t>
      </w:r>
      <w:r>
        <w:t xml:space="preserve">Quotation Estimate</w:t>
      </w:r>
      <w:r>
        <w:t xml:space="preserve"> </w:t>
      </w:r>
      <w:r>
        <w:t xml:space="preserve">is issued by Apex Telecommunications Solutions, Inc. in response to the client's request for professional</w:t>
      </w:r>
      <w:r>
        <w:t xml:space="preserve"> </w:t>
      </w:r>
      <w:r>
        <w:t xml:space="preserve">Telecommunication Engineer</w:t>
      </w:r>
      <w:r>
        <w:t xml:space="preserve"> </w:t>
      </w:r>
      <w:r>
        <w:t xml:space="preserve">services to be performed within the</w:t>
      </w:r>
      <w:r>
        <w:t xml:space="preserve"> </w:t>
      </w:r>
      <w:r>
        <w:t xml:space="preserve">United States Miami</w:t>
      </w:r>
      <w:r>
        <w:t xml:space="preserve"> </w:t>
      </w:r>
      <w:r>
        <w:t xml:space="preserve">metropolitan area. The following document outlines the complete scope of work, labor rates, material costs, and associated terms governing the engagement of our licensed</w:t>
      </w:r>
      <w:r>
        <w:t xml:space="preserve"> </w:t>
      </w:r>
      <w:r>
        <w:t xml:space="preserve">Telecommunication Engineer</w:t>
      </w:r>
      <w:r>
        <w:t xml:space="preserve"> </w:t>
      </w:r>
      <w:r>
        <w:t xml:space="preserve">team for the specified project.</w:t>
      </w:r>
    </w:p>
    <w:p>
      <w:pPr>
        <w:pStyle w:val="BodyText"/>
      </w:pPr>
      <w:r>
        <w:t xml:space="preserve">1. Scope of Work</w:t>
      </w:r>
    </w:p>
    <w:p>
      <w:pPr>
        <w:pStyle w:val="BodyText"/>
      </w:pPr>
      <w:r>
        <w:t xml:space="preserve">The</w:t>
      </w:r>
      <w:r>
        <w:t xml:space="preserve"> </w:t>
      </w:r>
      <w:r>
        <w:t xml:space="preserve">Telecommunication Engineer</w:t>
      </w:r>
      <w:r>
        <w:t xml:space="preserve"> </w:t>
      </w:r>
      <w:r>
        <w:t xml:space="preserve">assigned to this project will provide comprehensive design, installation, testing, and commissioning of telecommunications infrastructure at the client's facility located in</w:t>
      </w:r>
      <w:r>
        <w:t xml:space="preserve"> </w:t>
      </w:r>
      <w:r>
        <w:t xml:space="preserve">United States Miami</w:t>
      </w:r>
      <w:r>
        <w:t xml:space="preserve">. The scope includes but is not limited to: structured cabling design (Cat6A and fiber optic), wireless LAN/WAN deployment, VoIP telephony system integration, network security architecture, and compliance with all applicable Florida and United States telecommunications regulations. The</w:t>
      </w:r>
      <w:r>
        <w:t xml:space="preserve"> </w:t>
      </w:r>
      <w:r>
        <w:t xml:space="preserve">Telecommunication Engineer</w:t>
      </w:r>
      <w:r>
        <w:t xml:space="preserve"> </w:t>
      </w:r>
      <w:r>
        <w:t xml:space="preserve">will also coordinate with local Miami-Dade County building authorities to ensure all installations meet the International Building Code (IBC) and NFPA 70 (National Electrical Code) requirements specific to the</w:t>
      </w:r>
      <w:r>
        <w:t xml:space="preserve"> </w:t>
      </w:r>
      <w:r>
        <w:t xml:space="preserve">United States Miami</w:t>
      </w:r>
      <w:r>
        <w:t xml:space="preserve"> </w:t>
      </w:r>
      <w:r>
        <w:t xml:space="preserve">jurisdiction.</w:t>
      </w:r>
    </w:p>
    <w:p>
      <w:pPr>
        <w:pStyle w:val="BodyText"/>
      </w:pPr>
      <w:r>
        <w:t xml:space="preserve">2.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Site survey and feasibility assessment by licensed Telecommunication Engineer at the United States Miami project location</w:t>
            </w:r>
          </w:p>
        </w:tc>
        <w:tc>
          <w:tcPr/>
          <w:p>
            <w:pPr>
              <w:pStyle w:val="Compact"/>
              <w:jc w:val="left"/>
            </w:pPr>
            <w:r>
              <w:t xml:space="preserve">1</w:t>
            </w:r>
          </w:p>
        </w:tc>
        <w:tc>
          <w:tcPr/>
          <w:p>
            <w:pPr>
              <w:pStyle w:val="Compact"/>
              <w:jc w:val="left"/>
            </w:pPr>
            <w:r>
              <w:t xml:space="preserve">Visit</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1 day</w:t>
            </w:r>
          </w:p>
        </w:tc>
      </w:tr>
      <w:tr>
        <w:tc>
          <w:tcPr/>
          <w:p>
            <w:pPr>
              <w:pStyle w:val="Compact"/>
              <w:jc w:val="left"/>
            </w:pPr>
            <w:r>
              <w:t xml:space="preserve">2</w:t>
            </w:r>
          </w:p>
        </w:tc>
        <w:tc>
          <w:tcPr/>
          <w:p>
            <w:pPr>
              <w:pStyle w:val="Compact"/>
              <w:jc w:val="left"/>
            </w:pPr>
            <w:r>
              <w:t xml:space="preserve">Design and engineering documentation for structured cabling (Cat6A copper and single-mode fiber) including as-built drawings and BOM</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10 days</w:t>
            </w:r>
          </w:p>
        </w:tc>
      </w:tr>
      <w:tr>
        <w:tc>
          <w:tcPr/>
          <w:p>
            <w:pPr>
              <w:pStyle w:val="Compact"/>
              <w:jc w:val="left"/>
            </w:pPr>
            <w:r>
              <w:t xml:space="preserve">3</w:t>
            </w:r>
          </w:p>
        </w:tc>
        <w:tc>
          <w:tcPr/>
          <w:p>
            <w:pPr>
              <w:pStyle w:val="Compact"/>
              <w:jc w:val="left"/>
            </w:pPr>
            <w:r>
              <w:t xml:space="preserve">Installation of 2,400 linear feet of Cat6A structured cabling with termination, labeling, and patch panel configuration</w:t>
            </w:r>
          </w:p>
        </w:tc>
        <w:tc>
          <w:tcPr/>
          <w:p>
            <w:pPr>
              <w:pStyle w:val="Compact"/>
              <w:jc w:val="left"/>
            </w:pPr>
            <w:r>
              <w:t xml:space="preserve">2,400</w:t>
            </w:r>
          </w:p>
        </w:tc>
        <w:tc>
          <w:tcPr/>
          <w:p>
            <w:pPr>
              <w:pStyle w:val="Compact"/>
              <w:jc w:val="left"/>
            </w:pPr>
            <w:r>
              <w:t xml:space="preserve">LF</w:t>
            </w:r>
          </w:p>
        </w:tc>
        <w:tc>
          <w:tcPr/>
          <w:p>
            <w:pPr>
              <w:pStyle w:val="Compact"/>
              <w:jc w:val="left"/>
            </w:pPr>
            <w:r>
              <w:t xml:space="preserve">$4.75</w:t>
            </w:r>
          </w:p>
        </w:tc>
        <w:tc>
          <w:tcPr/>
          <w:p>
            <w:pPr>
              <w:pStyle w:val="Compact"/>
              <w:jc w:val="left"/>
            </w:pPr>
            <w:r>
              <w:t xml:space="preserve">$11,400.00</w:t>
            </w:r>
          </w:p>
        </w:tc>
        <w:tc>
          <w:tcPr/>
          <w:p>
            <w:pPr>
              <w:pStyle w:val="Compact"/>
              <w:jc w:val="left"/>
            </w:pPr>
            <w:r>
              <w:t xml:space="preserve">15 days</w:t>
            </w:r>
          </w:p>
        </w:tc>
      </w:tr>
      <w:tr>
        <w:tc>
          <w:tcPr/>
          <w:p>
            <w:pPr>
              <w:pStyle w:val="Compact"/>
              <w:jc w:val="left"/>
            </w:pPr>
            <w:r>
              <w:t xml:space="preserve">4</w:t>
            </w:r>
          </w:p>
        </w:tc>
        <w:tc>
          <w:tcPr/>
          <w:p>
            <w:pPr>
              <w:pStyle w:val="Compact"/>
              <w:jc w:val="left"/>
            </w:pPr>
            <w:r>
              <w:t xml:space="preserve">Installation of 1,800 linear feet of single-mode fiber optic cable (OS2) with fusion splicing and OTDR testing</w:t>
            </w:r>
          </w:p>
        </w:tc>
        <w:tc>
          <w:tcPr/>
          <w:p>
            <w:pPr>
              <w:pStyle w:val="Compact"/>
              <w:jc w:val="left"/>
            </w:pPr>
            <w:r>
              <w:t xml:space="preserve">1,800</w:t>
            </w:r>
          </w:p>
        </w:tc>
        <w:tc>
          <w:tcPr/>
          <w:p>
            <w:pPr>
              <w:pStyle w:val="Compact"/>
              <w:jc w:val="left"/>
            </w:pPr>
            <w:r>
              <w:t xml:space="preserve">LF</w:t>
            </w:r>
          </w:p>
        </w:tc>
        <w:tc>
          <w:tcPr/>
          <w:p>
            <w:pPr>
              <w:pStyle w:val="Compact"/>
              <w:jc w:val="left"/>
            </w:pPr>
            <w:r>
              <w:t xml:space="preserve">$6.20</w:t>
            </w:r>
          </w:p>
        </w:tc>
        <w:tc>
          <w:tcPr/>
          <w:p>
            <w:pPr>
              <w:pStyle w:val="Compact"/>
              <w:jc w:val="left"/>
            </w:pPr>
            <w:r>
              <w:t xml:space="preserve">$11,160.00</w:t>
            </w:r>
          </w:p>
        </w:tc>
        <w:tc>
          <w:tcPr/>
          <w:p>
            <w:pPr>
              <w:pStyle w:val="Compact"/>
              <w:jc w:val="left"/>
            </w:pPr>
            <w:r>
              <w:t xml:space="preserve">12 days</w:t>
            </w:r>
          </w:p>
        </w:tc>
      </w:tr>
      <w:tr>
        <w:tc>
          <w:tcPr/>
          <w:p>
            <w:pPr>
              <w:pStyle w:val="Compact"/>
              <w:jc w:val="left"/>
            </w:pPr>
            <w:r>
              <w:t xml:space="preserve">5</w:t>
            </w:r>
          </w:p>
        </w:tc>
        <w:tc>
          <w:tcPr/>
          <w:p>
            <w:pPr>
              <w:pStyle w:val="Compact"/>
              <w:jc w:val="left"/>
            </w:pPr>
            <w:r>
              <w:t xml:space="preserve">Deployment and configuration of enterprise-grade wireless access points (24 units) with RF site optimization by Telecommunication Engineer</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$9,240.00</w:t>
            </w:r>
          </w:p>
        </w:tc>
        <w:tc>
          <w:tcPr/>
          <w:p>
            <w:pPr>
              <w:pStyle w:val="Compact"/>
              <w:jc w:val="left"/>
            </w:pPr>
            <w:r>
              <w:t xml:space="preserve">8 days</w:t>
            </w:r>
          </w:p>
        </w:tc>
      </w:tr>
      <w:tr>
        <w:tc>
          <w:tcPr/>
          <w:p>
            <w:pPr>
              <w:pStyle w:val="Compact"/>
              <w:jc w:val="left"/>
            </w:pPr>
            <w:r>
              <w:t xml:space="preserve">6</w:t>
            </w:r>
          </w:p>
        </w:tc>
        <w:tc>
          <w:tcPr/>
          <w:p>
            <w:pPr>
              <w:pStyle w:val="Compact"/>
              <w:jc w:val="left"/>
            </w:pPr>
            <w:r>
              <w:t xml:space="preserve">VoIP telephony system integration (120 extensions) including PBX configuration, SIP trunking, and call routing setup</w:t>
            </w:r>
          </w:p>
        </w:tc>
        <w:tc>
          <w:tcPr/>
          <w:p>
            <w:pPr>
              <w:pStyle w:val="Compact"/>
              <w:jc w:val="left"/>
            </w:pPr>
            <w:r>
              <w:t xml:space="preserve">120</w:t>
            </w:r>
          </w:p>
        </w:tc>
        <w:tc>
          <w:tcPr/>
          <w:p>
            <w:pPr>
              <w:pStyle w:val="Compact"/>
              <w:jc w:val="left"/>
            </w:pPr>
            <w:r>
              <w:t xml:space="preserve">Ext.</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10 days</w:t>
            </w:r>
          </w:p>
        </w:tc>
      </w:tr>
      <w:tr>
        <w:tc>
          <w:tcPr/>
          <w:p>
            <w:pPr>
              <w:pStyle w:val="Compact"/>
              <w:jc w:val="left"/>
            </w:pPr>
            <w:r>
              <w:t xml:space="preserve">7</w:t>
            </w:r>
          </w:p>
        </w:tc>
        <w:tc>
          <w:tcPr/>
          <w:p>
            <w:pPr>
              <w:pStyle w:val="Compact"/>
              <w:jc w:val="left"/>
            </w:pPr>
            <w:r>
              <w:t xml:space="preserve">Network security architecture implementation: firewall configuration, VLAN segmentation, IDS/IPS deployment, and penetration testing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7 days</w:t>
            </w:r>
          </w:p>
        </w:tc>
      </w:tr>
      <w:tr>
        <w:tc>
          <w:tcPr/>
          <w:p>
            <w:pPr>
              <w:pStyle w:val="Compact"/>
              <w:jc w:val="left"/>
            </w:pPr>
            <w:r>
              <w:t xml:space="preserve">8</w:t>
            </w:r>
          </w:p>
        </w:tc>
        <w:tc>
          <w:tcPr/>
          <w:p>
            <w:pPr>
              <w:pStyle w:val="Compact"/>
              <w:jc w:val="left"/>
            </w:pPr>
            <w:r>
              <w:t xml:space="preserve">Comprehensive testing, certification, and documentation (Fluke DSX-5000 testing, link certification reports, as-built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5 days</w:t>
            </w:r>
          </w:p>
        </w:tc>
      </w:tr>
      <w:tr>
        <w:tc>
          <w:tcPr/>
          <w:p>
            <w:pPr>
              <w:pStyle w:val="Compact"/>
              <w:jc w:val="left"/>
            </w:pPr>
            <w:r>
              <w:t xml:space="preserve">9</w:t>
            </w:r>
          </w:p>
        </w:tc>
        <w:tc>
          <w:tcPr/>
          <w:p>
            <w:pPr>
              <w:pStyle w:val="Compact"/>
              <w:jc w:val="left"/>
            </w:pPr>
            <w:r>
              <w:t xml:space="preserve">Permitting, inspections, and regulatory compliance coordination with Miami-Dade County and United States federal telecommunications authorities (FCC)</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5 days</w:t>
            </w:r>
          </w:p>
        </w:tc>
      </w:tr>
      <w:tr>
        <w:tc>
          <w:tcPr/>
          <w:p>
            <w:pPr>
              <w:pStyle w:val="Compact"/>
              <w:jc w:val="left"/>
            </w:pPr>
            <w:r>
              <w:t xml:space="preserve">10</w:t>
            </w:r>
          </w:p>
        </w:tc>
        <w:tc>
          <w:tcPr/>
          <w:p>
            <w:pPr>
              <w:pStyle w:val="Compact"/>
              <w:jc w:val="left"/>
            </w:pPr>
            <w:r>
              <w:t xml:space="preserve">Project management, client coordination, and final handover by senior Telecommunication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Entire project</w:t>
            </w:r>
          </w:p>
        </w:tc>
      </w:tr>
      <w:tr>
        <w:tc>
          <w:tcPr>
            <w:gridSpan w:val="5"/>
          </w:tcPr>
          <w:p>
            <w:pPr>
              <w:pStyle w:val="Compact"/>
              <w:jc w:val="right"/>
            </w:pPr>
            <w:r>
              <w:t xml:space="preserve">Subtotal</w:t>
            </w:r>
          </w:p>
        </w:tc>
        <w:tc>
          <w:tcPr/>
          <w:p>
            <w:pPr>
              <w:pStyle w:val="Compact"/>
              <w:jc w:val="left"/>
            </w:pPr>
            <w:r>
              <w:t xml:space="preserve">$80,100.00</w:t>
            </w:r>
          </w:p>
        </w:tc>
        <w:tc>
          <w:tcPr/>
          <w:p>
            <w:pPr>
              <w:pStyle w:val="Compact"/>
            </w:pPr>
          </w:p>
        </w:tc>
      </w:tr>
      <w:tr>
        <w:tc>
          <w:tcPr>
            <w:gridSpan w:val="5"/>
          </w:tcPr>
          <w:p>
            <w:pPr>
              <w:pStyle w:val="Compact"/>
              <w:jc w:val="right"/>
            </w:pPr>
            <w:r>
              <w:t xml:space="preserve">Florida Sales Tax (7.0%)</w:t>
            </w:r>
          </w:p>
        </w:tc>
        <w:tc>
          <w:tcPr/>
          <w:p>
            <w:pPr>
              <w:pStyle w:val="Compact"/>
              <w:jc w:val="left"/>
            </w:pPr>
            <w:r>
              <w:t xml:space="preserve">$5,607.00</w:t>
            </w:r>
          </w:p>
        </w:tc>
        <w:tc>
          <w:tcPr/>
          <w:p>
            <w:pPr>
              <w:pStyle w:val="Compact"/>
            </w:pPr>
          </w:p>
        </w:tc>
      </w:tr>
      <w:tr>
        <w:tc>
          <w:tcPr>
            <w:gridSpan w:val="5"/>
          </w:tcPr>
          <w:p>
            <w:pPr>
              <w:pStyle w:val="Compact"/>
              <w:jc w:val="right"/>
            </w:pPr>
            <w:r>
              <w:rPr>
                <w:bCs/>
                <w:b/>
              </w:rPr>
              <w:t xml:space="preserve">Grand Total (USD)</w:t>
            </w:r>
          </w:p>
        </w:tc>
        <w:tc>
          <w:tcPr/>
          <w:p>
            <w:pPr>
              <w:pStyle w:val="Compact"/>
              <w:jc w:val="left"/>
            </w:pPr>
            <w:r>
              <w:rPr>
                <w:bCs/>
                <w:b/>
              </w:rPr>
              <w:t xml:space="preserve">$85,707.00</w:t>
            </w:r>
          </w:p>
        </w:tc>
        <w:tc>
          <w:tcPr/>
          <w:p>
            <w:pPr>
              <w:pStyle w:val="Compact"/>
            </w:pPr>
          </w:p>
        </w:tc>
      </w:tr>
    </w:tbl>
    <w:p>
      <w:pPr>
        <w:pStyle w:val="BodyText"/>
      </w:pPr>
      <w:r>
        <w:t xml:space="preserve">3. Payment Schedule</w:t>
      </w:r>
    </w:p>
    <w:p>
      <w:pPr>
        <w:pStyle w:val="BodyText"/>
      </w:pPr>
      <w:r>
        <w:t xml:space="preserve">This</w:t>
      </w:r>
      <w:r>
        <w:t xml:space="preserve"> </w:t>
      </w:r>
      <w:r>
        <w:t xml:space="preserve">Quotation Estimate</w:t>
      </w:r>
      <w:r>
        <w:t xml:space="preserve"> </w:t>
      </w:r>
      <w:r>
        <w:t xml:space="preserve">is structured with the following milestone-based payment schedule to ensure alignment between deliverables and compensation for the</w:t>
      </w:r>
      <w:r>
        <w:t xml:space="preserve"> </w:t>
      </w:r>
      <w:r>
        <w:t xml:space="preserve">Telecommunication Engineer</w:t>
      </w:r>
      <w:r>
        <w:t xml:space="preserve"> </w:t>
      </w:r>
      <w:r>
        <w:t xml:space="preserve">team:</w:t>
      </w:r>
    </w:p>
    <w:p>
      <w:pPr>
        <w:numPr>
          <w:ilvl w:val="0"/>
          <w:numId w:val="1001"/>
        </w:numPr>
        <w:pStyle w:val="Compact"/>
      </w:pPr>
      <w:r>
        <w:rPr>
          <w:bCs/>
          <w:b/>
        </w:rPr>
        <w:t xml:space="preserve">25% ($21,426.75)</w:t>
      </w:r>
      <w:r>
        <w:t xml:space="preserve"> </w:t>
      </w:r>
      <w:r>
        <w:t xml:space="preserve">– Due upon execution of this Quotation Estimate and project mobilization in United States Miami.</w:t>
      </w:r>
    </w:p>
    <w:p>
      <w:pPr>
        <w:numPr>
          <w:ilvl w:val="0"/>
          <w:numId w:val="1001"/>
        </w:numPr>
        <w:pStyle w:val="Compact"/>
      </w:pPr>
      <w:r>
        <w:rPr>
          <w:bCs/>
          <w:b/>
        </w:rPr>
        <w:t xml:space="preserve">35% ($29,997.45)</w:t>
      </w:r>
      <w:r>
        <w:t xml:space="preserve"> </w:t>
      </w:r>
      <w:r>
        <w:t xml:space="preserve">– Due upon completion of cabling installation and wireless deployment (Milestone 2).</w:t>
      </w:r>
    </w:p>
    <w:p>
      <w:pPr>
        <w:numPr>
          <w:ilvl w:val="0"/>
          <w:numId w:val="1001"/>
        </w:numPr>
        <w:pStyle w:val="Compact"/>
      </w:pPr>
      <w:r>
        <w:rPr>
          <w:bCs/>
          <w:b/>
        </w:rPr>
        <w:t xml:space="preserve">25% ($21,426.75)</w:t>
      </w:r>
      <w:r>
        <w:t xml:space="preserve"> </w:t>
      </w:r>
      <w:r>
        <w:t xml:space="preserve">– Due upon completion of VoIP integration and network security implementation (Milestone 3).</w:t>
      </w:r>
    </w:p>
    <w:p>
      <w:pPr>
        <w:numPr>
          <w:ilvl w:val="0"/>
          <w:numId w:val="1001"/>
        </w:numPr>
        <w:pStyle w:val="Compact"/>
      </w:pPr>
      <w:r>
        <w:rPr>
          <w:bCs/>
          <w:b/>
        </w:rPr>
        <w:t xml:space="preserve">15% ($12,856.05)</w:t>
      </w:r>
      <w:r>
        <w:t xml:space="preserve"> </w:t>
      </w:r>
      <w:r>
        <w:t xml:space="preserve">– Due upon final testing, certification, and project handover.</w:t>
      </w:r>
    </w:p>
    <w:p>
      <w:pPr>
        <w:pStyle w:val="FirstParagraph"/>
      </w:pPr>
      <w:r>
        <w:t xml:space="preserve">4. Terms and Conditions</w:t>
      </w:r>
    </w:p>
    <w:p>
      <w:pPr>
        <w:numPr>
          <w:ilvl w:val="0"/>
          <w:numId w:val="1002"/>
        </w:numPr>
        <w:pStyle w:val="Compact"/>
      </w:pPr>
      <w:r>
        <w:t xml:space="preserve">This Quotation Estimate is valid for thirty (30) calendar days from the date of issue. After the expiration date, pricing for the Telecommunication Engineer services and materials may be subject to revision based on market conditions in the United States Miami region.</w:t>
      </w:r>
    </w:p>
    <w:p>
      <w:pPr>
        <w:numPr>
          <w:ilvl w:val="0"/>
          <w:numId w:val="1002"/>
        </w:numPr>
        <w:pStyle w:val="Compact"/>
      </w:pPr>
      <w:r>
        <w:t xml:space="preserve">All work shall be performed in accordance with the applicable codes and standards of the State of Florida, Miami-Dade County, and the United States federal government, including but not limited to FCC Part 68, TIA-568, and BICSI standards.</w:t>
      </w:r>
    </w:p>
    <w:p>
      <w:pPr>
        <w:numPr>
          <w:ilvl w:val="0"/>
          <w:numId w:val="1002"/>
        </w:numPr>
        <w:pStyle w:val="Compact"/>
      </w:pPr>
      <w:r>
        <w:t xml:space="preserve">The Telecommunication Engineer assigned to this project holds a P.E. (Professional Engineer) license in the State of Florida and is certified by BICSI, CompTIA, and the relevant manufacturer certifications for all equipment specified herein.</w:t>
      </w:r>
    </w:p>
    <w:p>
      <w:pPr>
        <w:numPr>
          <w:ilvl w:val="0"/>
          <w:numId w:val="1002"/>
        </w:numPr>
        <w:pStyle w:val="Compact"/>
      </w:pPr>
      <w:r>
        <w:t xml:space="preserve">Any changes to the scope of work must be documented in a formal Change Order signed by both parties before additional work commences. The Quotation Estimate does not cover work outside the defined scope.</w:t>
      </w:r>
    </w:p>
    <w:p>
      <w:pPr>
        <w:numPr>
          <w:ilvl w:val="0"/>
          <w:numId w:val="1002"/>
        </w:numPr>
        <w:pStyle w:val="Compact"/>
      </w:pPr>
      <w:r>
        <w:t xml:space="preserve">Apex Telecommunications Solutions, Inc. shall provide a two-year warranty on all labor and a manufacturer's warranty on all materials and equipment installed at the United States Miami project site.</w:t>
      </w:r>
    </w:p>
    <w:p>
      <w:pPr>
        <w:numPr>
          <w:ilvl w:val="0"/>
          <w:numId w:val="1002"/>
        </w:numPr>
        <w:pStyle w:val="Compact"/>
      </w:pPr>
      <w:r>
        <w:t xml:space="preserve">Payment terms are Net 30 days from the date of invoice. Late payments shall accrue interest at 1.5% per month or the maximum rate permitted by Florida law, whichever is less.</w:t>
      </w:r>
    </w:p>
    <w:p>
      <w:pPr>
        <w:numPr>
          <w:ilvl w:val="0"/>
          <w:numId w:val="1002"/>
        </w:numPr>
        <w:pStyle w:val="Compact"/>
      </w:pPr>
      <w:r>
        <w:t xml:space="preserve">This Quotation Estimate does not constitute a binding contract until countersigned by both parties. Upon acceptance, it shall serve as the governing document for the Telecommunication Engineer engagement.</w:t>
      </w:r>
    </w:p>
    <w:p>
      <w:pPr>
        <w:numPr>
          <w:ilvl w:val="0"/>
          <w:numId w:val="1002"/>
        </w:numPr>
        <w:pStyle w:val="Compact"/>
      </w:pPr>
      <w:r>
        <w:t xml:space="preserve">All work will be performed during standard business hours (Monday through Friday, 7:00 AM to 5:00 PM Eastern Time) unless otherwise agreed in writing. After-hours or weekend work in the United States Miami area will be billed at 1.5x the standard rate.</w:t>
      </w:r>
    </w:p>
    <w:p>
      <w:pPr>
        <w:numPr>
          <w:ilvl w:val="0"/>
          <w:numId w:val="1002"/>
        </w:numPr>
        <w:pStyle w:val="Compact"/>
      </w:pPr>
      <w:r>
        <w:t xml:space="preserve">Apex Telecommunications Solutions, Inc. maintains general liability insurance of $2,000,000 per occurrence and workers' compensation coverage as required by the State of Florida. Certificates of insurance shall be provided upon request.</w:t>
      </w:r>
    </w:p>
    <w:p>
      <w:pPr>
        <w:numPr>
          <w:ilvl w:val="0"/>
          <w:numId w:val="1002"/>
        </w:numPr>
        <w:pStyle w:val="Compact"/>
      </w:pPr>
      <w:r>
        <w:t xml:space="preserve">This Quotation Estimate is governed by the laws of the State of Florida, United States. Any disputes shall be resolved through binding arbitration in Miami-Dade County, Florida.</w:t>
      </w:r>
    </w:p>
    <w:p>
      <w:pPr>
        <w:pStyle w:val="FirstParagraph"/>
      </w:pPr>
      <w:r>
        <w:t xml:space="preserve">5. Acceptance and Authorization</w:t>
      </w:r>
    </w:p>
    <w:p>
      <w:pPr>
        <w:pStyle w:val="BodyText"/>
      </w:pPr>
      <w:r>
        <w:t xml:space="preserve">By signing below, the client acknowledges receipt of this Quotation Estimate and authorizes Apex Telecommunications Solutions, Inc. to proceed with the Telecommunication Engineer services as described herein for the project located in United States Miami.</w:t>
      </w:r>
    </w:p>
    <w:p>
      <w:pPr>
        <w:pStyle w:val="BodyText"/>
      </w:pPr>
      <w:r>
        <w:rPr>
          <w:bCs/>
          <w:b/>
        </w:rPr>
        <w:t xml:space="preserve">For Apex Telecommunications Solutions, Inc.</w:t>
      </w:r>
    </w:p>
    <w:p>
      <w:pPr>
        <w:pStyle w:val="BodyText"/>
      </w:pPr>
      <w:r>
        <w:t xml:space="preserve">Signature: ___________________________</w:t>
      </w:r>
    </w:p>
    <w:p>
      <w:pPr>
        <w:pStyle w:val="BodyText"/>
      </w:pPr>
      <w:r>
        <w:t xml:space="preserve">Name: Robert J. Castellanos, P.E.</w:t>
      </w:r>
    </w:p>
    <w:p>
      <w:pPr>
        <w:pStyle w:val="BodyText"/>
      </w:pPr>
      <w:r>
        <w:t xml:space="preserve">Title: Senior Telecommunication Engineer / Project Director</w:t>
      </w:r>
    </w:p>
    <w:p>
      <w:pPr>
        <w:pStyle w:val="BodyText"/>
      </w:pPr>
      <w:r>
        <w:t xml:space="preserve">Date: ___________________________</w:t>
      </w:r>
    </w:p>
    <w:p>
      <w:pPr>
        <w:pStyle w:val="BodyText"/>
      </w:pPr>
      <w:r>
        <w:rPr>
          <w:bCs/>
          <w:b/>
        </w:rPr>
        <w:t xml:space="preserve">For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Apex Telecommunications Solutions, Inc. — Quotation Estimate QTE-2025-MIA-00847 — Page 1 of 1</w:t>
      </w:r>
    </w:p>
    <w:p>
      <w:pPr>
        <w:pStyle w:val="BodyText"/>
      </w:pPr>
      <w:r>
        <w:t xml:space="preserve">This document is confidential and intended solely for the named client. Unauthorized reproduction or distribution is prohibited.</w:t>
      </w:r>
    </w:p>
    <w:p>
      <w:pPr>
        <w:pStyle w:val="BodyText"/>
      </w:pPr>
      <w:r>
        <w:t xml:space="preserve">© 2025 Apex Telecommunications Solutions, Inc. All rights reserved. 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United States Miami</dc:title>
  <dc:creator/>
  <dc:language>en</dc:language>
  <cp:keywords/>
  <dcterms:created xsi:type="dcterms:W3CDTF">2026-10-10T02:57:35Z</dcterms:created>
  <dcterms:modified xsi:type="dcterms:W3CDTF">2026-10-10T02:57:35Z</dcterms:modified>
</cp:coreProperties>
</file>

<file path=docProps/custom.xml><?xml version="1.0" encoding="utf-8"?>
<Properties xmlns="http://schemas.openxmlformats.org/officeDocument/2006/custom-properties" xmlns:vt="http://schemas.openxmlformats.org/officeDocument/2006/docPropsVTypes"/>
</file>