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bay-area-telecom-solutions-inc."/>
    <w:p>
      <w:pPr>
        <w:pStyle w:val="Heading1"/>
      </w:pPr>
      <w:r>
        <w:t xml:space="preserve">Bay Area Telecom Solutions Inc.</w:t>
      </w:r>
    </w:p>
    <w:p>
      <w:pPr>
        <w:pStyle w:val="FirstParagraph"/>
      </w:pPr>
      <w:r>
        <w:t xml:space="preserve">1200 Market Street, Suite 4500</w:t>
      </w:r>
    </w:p>
    <w:p>
      <w:pPr>
        <w:pStyle w:val="BodyText"/>
      </w:pPr>
      <w:r>
        <w:t xml:space="preserve">San Francisco, CA 94102, United States</w:t>
      </w:r>
    </w:p>
    <w:p>
      <w:pPr>
        <w:pStyle w:val="BodyText"/>
      </w:pPr>
      <w:r>
        <w:t xml:space="preserve">Phone: (415) 555-0187 | Email: quotes@bayareatelecom.com</w:t>
      </w:r>
    </w:p>
    <w:p>
      <w:pPr>
        <w:pStyle w:val="BodyText"/>
      </w:pPr>
      <w:r>
        <w:t xml:space="preserve">CA Contractor License: C-10 #1048293</w:t>
      </w:r>
    </w:p>
    <w:bookmarkEnd w:id="20"/>
    <w:p>
      <w:pPr>
        <w:pStyle w:val="BodyText"/>
      </w:pPr>
      <w:r>
        <w:t xml:space="preserve">Document Ref: QTE-2025-0742</w:t>
      </w:r>
    </w:p>
    <w:p>
      <w:pPr>
        <w:pStyle w:val="BodyText"/>
      </w:pPr>
      <w:r>
        <w:t xml:space="preserve">Issued: July 14, 2025</w:t>
      </w:r>
    </w:p>
    <w:bookmarkStart w:id="21" w:name="quotation-estimate"/>
    <w:p>
      <w:pPr>
        <w:pStyle w:val="Heading2"/>
      </w:pPr>
      <w:r>
        <w:t xml:space="preserve">QUOTATION ESTIMATE</w:t>
      </w:r>
    </w:p>
    <w:p>
      <w:pPr>
        <w:pStyle w:val="FirstParagraph"/>
      </w:pPr>
      <w:r>
        <w:t xml:space="preserve">Professional Telecommunication Engineer Services — United States San Francisco</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QTE-2025-0742</w:t>
            </w:r>
          </w:p>
        </w:tc>
      </w:tr>
      <w:tr>
        <w:tc>
          <w:tcPr/>
          <w:p>
            <w:pPr>
              <w:pStyle w:val="Compact"/>
              <w:jc w:val="left"/>
            </w:pPr>
            <w:r>
              <w:t xml:space="preserve">Date of Issue</w:t>
            </w:r>
          </w:p>
        </w:tc>
        <w:tc>
          <w:tcPr/>
          <w:p>
            <w:pPr>
              <w:pStyle w:val="Compact"/>
              <w:jc w:val="left"/>
            </w:pPr>
            <w:r>
              <w:t xml:space="preserve">July 14, 2025</w:t>
            </w:r>
          </w:p>
        </w:tc>
      </w:tr>
      <w:tr>
        <w:tc>
          <w:tcPr/>
          <w:p>
            <w:pPr>
              <w:pStyle w:val="Compact"/>
              <w:jc w:val="left"/>
            </w:pPr>
            <w:r>
              <w:t xml:space="preserve">Valid Until</w:t>
            </w:r>
          </w:p>
        </w:tc>
        <w:tc>
          <w:tcPr/>
          <w:p>
            <w:pPr>
              <w:pStyle w:val="Compact"/>
              <w:jc w:val="left"/>
            </w:pPr>
            <w:r>
              <w:t xml:space="preserve">August 14, 2025 (30 calendar days)</w:t>
            </w:r>
          </w:p>
        </w:tc>
      </w:tr>
      <w:tr>
        <w:tc>
          <w:tcPr/>
          <w:p>
            <w:pPr>
              <w:pStyle w:val="Compact"/>
              <w:jc w:val="left"/>
            </w:pPr>
            <w:r>
              <w:t xml:space="preserve">Prepared For</w:t>
            </w:r>
          </w:p>
        </w:tc>
        <w:tc>
          <w:tcPr/>
          <w:p>
            <w:pPr>
              <w:pStyle w:val="Compact"/>
              <w:jc w:val="left"/>
            </w:pPr>
            <w:r>
              <w:t xml:space="preserve">Golden Gate Infrastructure Partners LLC, 880 Howard Street, San Francisco, CA 94103</w:t>
            </w:r>
          </w:p>
        </w:tc>
      </w:tr>
      <w:tr>
        <w:tc>
          <w:tcPr/>
          <w:p>
            <w:pPr>
              <w:pStyle w:val="Compact"/>
              <w:jc w:val="left"/>
            </w:pPr>
            <w:r>
              <w:t xml:space="preserve">Prepared By</w:t>
            </w:r>
          </w:p>
        </w:tc>
        <w:tc>
          <w:tcPr/>
          <w:p>
            <w:pPr>
              <w:pStyle w:val="Compact"/>
              <w:jc w:val="left"/>
            </w:pPr>
            <w:r>
              <w:t xml:space="preserve">Bay Area Telecom Solutions Inc. — Telecommunication Engineering Division</w:t>
            </w:r>
          </w:p>
        </w:tc>
      </w:tr>
      <w:tr>
        <w:tc>
          <w:tcPr/>
          <w:p>
            <w:pPr>
              <w:pStyle w:val="Compact"/>
              <w:jc w:val="left"/>
            </w:pPr>
            <w:r>
              <w:t xml:space="preserve">Project Location</w:t>
            </w:r>
          </w:p>
        </w:tc>
        <w:tc>
          <w:tcPr/>
          <w:p>
            <w:pPr>
              <w:pStyle w:val="Compact"/>
              <w:jc w:val="left"/>
            </w:pPr>
            <w:r>
              <w:t xml:space="preserve">United States San Francisco, California — Multiple Sites (Downtown, SoMa, and Mission District)</w:t>
            </w:r>
          </w:p>
        </w:tc>
      </w:tr>
      <w:tr>
        <w:tc>
          <w:tcPr/>
          <w:p>
            <w:pPr>
              <w:pStyle w:val="Compact"/>
              <w:jc w:val="left"/>
            </w:pPr>
            <w:r>
              <w:t xml:space="preserve">Project Title</w:t>
            </w:r>
          </w:p>
        </w:tc>
        <w:tc>
          <w:tcPr/>
          <w:p>
            <w:pPr>
              <w:pStyle w:val="Compact"/>
              <w:jc w:val="left"/>
            </w:pPr>
            <w:r>
              <w:t xml:space="preserve">Telecommunication Network Design, Installation, and Commissioning — Phase II Expansion</w:t>
            </w:r>
          </w:p>
        </w:tc>
      </w:tr>
    </w:tbl>
    <w:bookmarkStart w:id="22" w:name="scope-of-work"/>
    <w:p>
      <w:pPr>
        <w:pStyle w:val="Heading3"/>
      </w:pPr>
      <w:r>
        <w:t xml:space="preserve">1. Scope of Work</w:t>
      </w:r>
    </w:p>
    <w:p>
      <w:pPr>
        <w:pStyle w:val="FirstParagraph"/>
      </w:pPr>
      <w:r>
        <w:t xml:space="preserve">This</w:t>
      </w:r>
      <w:r>
        <w:t xml:space="preserve"> </w:t>
      </w:r>
      <w:r>
        <w:t xml:space="preserve">Quotation Estimate</w:t>
      </w:r>
      <w:r>
        <w:t xml:space="preserve"> </w:t>
      </w:r>
      <w:r>
        <w:t xml:space="preserve">is issued by Bay Area Telecom Solutions Inc. to Golden Gate Infrastructure Partners LLC for the engagement of a senior</w:t>
      </w:r>
      <w:r>
        <w:t xml:space="preserve"> </w:t>
      </w:r>
      <w:r>
        <w:t xml:space="preserve">Telecommunication Engineer</w:t>
      </w:r>
      <w:r>
        <w:t xml:space="preserve"> </w:t>
      </w:r>
      <w:r>
        <w:t xml:space="preserve">and supporting technical team to deliver comprehensive telecommunications infrastructure services across multiple commercial and residential sites located in</w:t>
      </w:r>
      <w:r>
        <w:t xml:space="preserve"> </w:t>
      </w:r>
      <w:r>
        <w:t xml:space="preserve">United States San Francisco</w:t>
      </w:r>
      <w:r>
        <w:t xml:space="preserve">. The scope encompasses the following deliverables:</w:t>
      </w:r>
    </w:p>
    <w:p>
      <w:pPr>
        <w:numPr>
          <w:ilvl w:val="0"/>
          <w:numId w:val="1001"/>
        </w:numPr>
        <w:pStyle w:val="Compact"/>
      </w:pPr>
      <w:r>
        <w:rPr>
          <w:bCs/>
          <w:b/>
        </w:rPr>
        <w:t xml:space="preserve">Site Surveys and Feasibility Analysis:</w:t>
      </w:r>
      <w:r>
        <w:t xml:space="preserve"> </w:t>
      </w:r>
      <w:r>
        <w:t xml:space="preserve">Conduct detailed RF propagation studies, fiber optic route surveys, and structural assessments at all designated locations within the San Francisco metropolitan area, including compliance verification with the San Francisco Department of Building Inspection and local zoning ordinances.</w:t>
      </w:r>
    </w:p>
    <w:p>
      <w:pPr>
        <w:numPr>
          <w:ilvl w:val="0"/>
          <w:numId w:val="1001"/>
        </w:numPr>
        <w:pStyle w:val="Compact"/>
      </w:pPr>
      <w:r>
        <w:rPr>
          <w:bCs/>
          <w:b/>
        </w:rPr>
        <w:t xml:space="preserve">Network Architecture Design:</w:t>
      </w:r>
      <w:r>
        <w:t xml:space="preserve"> </w:t>
      </w:r>
      <w:r>
        <w:t xml:space="preserve">Develop complete engineering drawings, system schematics, and technical specifications for a converged IP-based telecommunications network supporting voice, data, video, and IoT services for approximately 12,000 end-user connections.</w:t>
      </w:r>
    </w:p>
    <w:p>
      <w:pPr>
        <w:numPr>
          <w:ilvl w:val="0"/>
          <w:numId w:val="1001"/>
        </w:numPr>
        <w:pStyle w:val="Compact"/>
      </w:pPr>
      <w:r>
        <w:rPr>
          <w:bCs/>
          <w:b/>
        </w:rPr>
        <w:t xml:space="preserve">Fiber Optic and Copper Infrastructure Installation:</w:t>
      </w:r>
      <w:r>
        <w:t xml:space="preserve"> </w:t>
      </w:r>
      <w:r>
        <w:t xml:space="preserve">Supervise and manage the physical installation of single-mode and multi-mode fiber optic cabling, structured copper cabling (Cat 6A), and associated rack-and-stack equipment across three primary buildings in the SoMa district.</w:t>
      </w:r>
    </w:p>
    <w:p>
      <w:pPr>
        <w:numPr>
          <w:ilvl w:val="0"/>
          <w:numId w:val="1001"/>
        </w:numPr>
        <w:pStyle w:val="Compact"/>
      </w:pPr>
      <w:r>
        <w:rPr>
          <w:bCs/>
          <w:b/>
        </w:rPr>
        <w:t xml:space="preserve">Wireless and Cellular Coverage Design:</w:t>
      </w:r>
      <w:r>
        <w:t xml:space="preserve"> </w:t>
      </w:r>
      <w:r>
        <w:t xml:space="preserve">Design and specify in-building wireless coverage solutions, including small cell deployment, DAS (Distributed Antenna System) architecture, and 5G NR readiness assessments aligned with FCC regulations and San Francisco municipal wireless permits.</w:t>
      </w:r>
    </w:p>
    <w:p>
      <w:pPr>
        <w:numPr>
          <w:ilvl w:val="0"/>
          <w:numId w:val="1001"/>
        </w:numPr>
        <w:pStyle w:val="Compact"/>
      </w:pPr>
      <w:r>
        <w:rPr>
          <w:bCs/>
          <w:b/>
        </w:rPr>
        <w:t xml:space="preserve">Commissioning, Testing, and Documentation:</w:t>
      </w:r>
      <w:r>
        <w:t xml:space="preserve"> </w:t>
      </w:r>
      <w:r>
        <w:t xml:space="preserve">Perform full end-to-end system testing, performance benchmarking, and deliver as-built documentation, O&amp;M manuals, and warranty certificates for all installed telecommunications systems.</w:t>
      </w:r>
    </w:p>
    <w:p>
      <w:pPr>
        <w:numPr>
          <w:ilvl w:val="0"/>
          <w:numId w:val="1001"/>
        </w:numPr>
        <w:pStyle w:val="Compact"/>
      </w:pPr>
      <w:r>
        <w:rPr>
          <w:bCs/>
          <w:b/>
        </w:rPr>
        <w:t xml:space="preserve">Regulatory Compliance and Permitting:</w:t>
      </w:r>
      <w:r>
        <w:t xml:space="preserve"> </w:t>
      </w:r>
      <w:r>
        <w:t xml:space="preserve">Manage all required permits, filings, and inspections with the City and County of San Francisco, the California Public Utilities Commission (CPUC), and the Federal Communications Commission (FCC) as applicable to the project scope.</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Telecommunication Engineer — Site Surveys &amp; Feasibility (3 sites)</w:t>
            </w:r>
          </w:p>
        </w:tc>
        <w:tc>
          <w:tcPr/>
          <w:p>
            <w:pPr>
              <w:pStyle w:val="Compact"/>
              <w:jc w:val="left"/>
            </w:pPr>
            <w:r>
              <w:t xml:space="preserve">Day</w:t>
            </w:r>
          </w:p>
        </w:tc>
        <w:tc>
          <w:tcPr/>
          <w:p>
            <w:pPr>
              <w:pStyle w:val="Compact"/>
              <w:jc w:val="left"/>
            </w:pPr>
            <w:r>
              <w:t xml:space="preserve">15</w:t>
            </w:r>
          </w:p>
        </w:tc>
        <w:tc>
          <w:tcPr/>
          <w:p>
            <w:pPr>
              <w:pStyle w:val="Compact"/>
              <w:jc w:val="left"/>
            </w:pPr>
            <w:r>
              <w:t xml:space="preserve">$1,250.00</w:t>
            </w:r>
          </w:p>
        </w:tc>
        <w:tc>
          <w:tcPr/>
          <w:p>
            <w:pPr>
              <w:pStyle w:val="Compact"/>
              <w:jc w:val="left"/>
            </w:pPr>
            <w:r>
              <w:t xml:space="preserve">$18,750.00</w:t>
            </w:r>
          </w:p>
        </w:tc>
      </w:tr>
      <w:tr>
        <w:tc>
          <w:tcPr/>
          <w:p>
            <w:pPr>
              <w:pStyle w:val="Compact"/>
              <w:jc w:val="left"/>
            </w:pPr>
            <w:r>
              <w:t xml:space="preserve">02</w:t>
            </w:r>
          </w:p>
        </w:tc>
        <w:tc>
          <w:tcPr/>
          <w:p>
            <w:pPr>
              <w:pStyle w:val="Compact"/>
              <w:jc w:val="left"/>
            </w:pPr>
            <w:r>
              <w:t xml:space="preserve">Network Architecture Design &amp; Engineering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Fiber Optic &amp; Structured Cabling Installation Supervision</w:t>
            </w:r>
          </w:p>
        </w:tc>
        <w:tc>
          <w:tcPr/>
          <w:p>
            <w:pPr>
              <w:pStyle w:val="Compact"/>
              <w:jc w:val="left"/>
            </w:pPr>
            <w:r>
              <w:t xml:space="preserve">Week</w:t>
            </w:r>
          </w:p>
        </w:tc>
        <w:tc>
          <w:tcPr/>
          <w:p>
            <w:pPr>
              <w:pStyle w:val="Compact"/>
              <w:jc w:val="left"/>
            </w:pPr>
            <w:r>
              <w:t xml:space="preserve">8</w:t>
            </w:r>
          </w:p>
        </w:tc>
        <w:tc>
          <w:tcPr/>
          <w:p>
            <w:pPr>
              <w:pStyle w:val="Compact"/>
              <w:jc w:val="left"/>
            </w:pPr>
            <w:r>
              <w:t xml:space="preserve">$9,800.00</w:t>
            </w:r>
          </w:p>
        </w:tc>
        <w:tc>
          <w:tcPr/>
          <w:p>
            <w:pPr>
              <w:pStyle w:val="Compact"/>
              <w:jc w:val="left"/>
            </w:pPr>
            <w:r>
              <w:t xml:space="preserve">$78,400.00</w:t>
            </w:r>
          </w:p>
        </w:tc>
      </w:tr>
      <w:tr>
        <w:tc>
          <w:tcPr/>
          <w:p>
            <w:pPr>
              <w:pStyle w:val="Compact"/>
              <w:jc w:val="left"/>
            </w:pPr>
            <w:r>
              <w:t xml:space="preserve">04</w:t>
            </w:r>
          </w:p>
        </w:tc>
        <w:tc>
          <w:tcPr/>
          <w:p>
            <w:pPr>
              <w:pStyle w:val="Compact"/>
              <w:jc w:val="left"/>
            </w:pPr>
            <w:r>
              <w:t xml:space="preserve">Wireless / DAS / Small Cell Design &amp; Specification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05</w:t>
            </w:r>
          </w:p>
        </w:tc>
        <w:tc>
          <w:tcPr/>
          <w:p>
            <w:pPr>
              <w:pStyle w:val="Compact"/>
              <w:jc w:val="left"/>
            </w:pPr>
            <w:r>
              <w:t xml:space="preserve">System Commissioning, Testing &amp; Performance Validation</w:t>
            </w:r>
          </w:p>
        </w:tc>
        <w:tc>
          <w:tcPr/>
          <w:p>
            <w:pPr>
              <w:pStyle w:val="Compact"/>
              <w:jc w:val="left"/>
            </w:pPr>
            <w:r>
              <w:t xml:space="preserve">Day</w:t>
            </w:r>
          </w:p>
        </w:tc>
        <w:tc>
          <w:tcPr/>
          <w:p>
            <w:pPr>
              <w:pStyle w:val="Compact"/>
              <w:jc w:val="left"/>
            </w:pPr>
            <w:r>
              <w:t xml:space="preserve">10</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06</w:t>
            </w:r>
          </w:p>
        </w:tc>
        <w:tc>
          <w:tcPr/>
          <w:p>
            <w:pPr>
              <w:pStyle w:val="Compact"/>
              <w:jc w:val="left"/>
            </w:pPr>
            <w:r>
              <w:t xml:space="preserve">Permitting, Regulatory Filings &amp; Municipal Coordination (San Francisco)</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07</w:t>
            </w:r>
          </w:p>
        </w:tc>
        <w:tc>
          <w:tcPr/>
          <w:p>
            <w:pPr>
              <w:pStyle w:val="Compact"/>
              <w:jc w:val="left"/>
            </w:pPr>
            <w:r>
              <w:t xml:space="preserve">Project Management &amp; Client Liaison (full duration)</w:t>
            </w:r>
          </w:p>
        </w:tc>
        <w:tc>
          <w:tcPr/>
          <w:p>
            <w:pPr>
              <w:pStyle w:val="Compact"/>
              <w:jc w:val="left"/>
            </w:pPr>
            <w:r>
              <w:t xml:space="preserve">Month</w:t>
            </w:r>
          </w:p>
        </w:tc>
        <w:tc>
          <w:tcPr/>
          <w:p>
            <w:pPr>
              <w:pStyle w:val="Compact"/>
              <w:jc w:val="left"/>
            </w:pPr>
            <w:r>
              <w:t xml:space="preserve">4</w:t>
            </w:r>
          </w:p>
        </w:tc>
        <w:tc>
          <w:tcPr/>
          <w:p>
            <w:pPr>
              <w:pStyle w:val="Compact"/>
              <w:jc w:val="left"/>
            </w:pPr>
            <w:r>
              <w:t xml:space="preserve">$5,200.00</w:t>
            </w:r>
          </w:p>
        </w:tc>
        <w:tc>
          <w:tcPr/>
          <w:p>
            <w:pPr>
              <w:pStyle w:val="Compact"/>
              <w:jc w:val="left"/>
            </w:pPr>
            <w:r>
              <w:t xml:space="preserve">$20,800.00</w:t>
            </w:r>
          </w:p>
        </w:tc>
      </w:tr>
      <w:tr>
        <w:tc>
          <w:tcPr/>
          <w:p>
            <w:pPr>
              <w:pStyle w:val="Compact"/>
              <w:jc w:val="left"/>
            </w:pPr>
            <w:r>
              <w:t xml:space="preserve">08</w:t>
            </w:r>
          </w:p>
        </w:tc>
        <w:tc>
          <w:tcPr/>
          <w:p>
            <w:pPr>
              <w:pStyle w:val="Compact"/>
              <w:jc w:val="left"/>
            </w:pPr>
            <w:r>
              <w:t xml:space="preserve">Travel, Local Transportation &amp; Field Expenses (San Francisco area)</w:t>
            </w:r>
          </w:p>
        </w:tc>
        <w:tc>
          <w:tcPr/>
          <w:p>
            <w:pPr>
              <w:pStyle w:val="Compact"/>
              <w:jc w:val="left"/>
            </w:pPr>
            <w:r>
              <w:t xml:space="preserve">Month</w:t>
            </w:r>
          </w:p>
        </w:tc>
        <w:tc>
          <w:tcPr/>
          <w:p>
            <w:pPr>
              <w:pStyle w:val="Compact"/>
              <w:jc w:val="left"/>
            </w:pPr>
            <w:r>
              <w:t xml:space="preserve">4</w:t>
            </w:r>
          </w:p>
        </w:tc>
        <w:tc>
          <w:tcPr/>
          <w:p>
            <w:pPr>
              <w:pStyle w:val="Compact"/>
              <w:jc w:val="left"/>
            </w:pPr>
            <w:r>
              <w:t xml:space="preserve">$1,450.00</w:t>
            </w:r>
          </w:p>
        </w:tc>
        <w:tc>
          <w:tcPr/>
          <w:p>
            <w:pPr>
              <w:pStyle w:val="Compact"/>
              <w:jc w:val="left"/>
            </w:pPr>
            <w:r>
              <w:t xml:space="preserve">$5,800.00</w:t>
            </w:r>
          </w:p>
        </w:tc>
      </w:tr>
      <w:tr>
        <w:tc>
          <w:tcPr>
            <w:gridSpan w:val="5"/>
          </w:tcPr>
          <w:p>
            <w:pPr>
              <w:pStyle w:val="Compact"/>
              <w:jc w:val="right"/>
            </w:pPr>
            <w:r>
              <w:t xml:space="preserve">Subtotal</w:t>
            </w:r>
          </w:p>
        </w:tc>
        <w:tc>
          <w:tcPr/>
          <w:p>
            <w:pPr>
              <w:pStyle w:val="Compact"/>
              <w:jc w:val="left"/>
            </w:pPr>
            <w:r>
              <w:t xml:space="preserve">$212,000.00</w:t>
            </w:r>
          </w:p>
        </w:tc>
      </w:tr>
      <w:tr>
        <w:tc>
          <w:tcPr>
            <w:gridSpan w:val="5"/>
          </w:tcPr>
          <w:p>
            <w:pPr>
              <w:pStyle w:val="Compact"/>
              <w:jc w:val="right"/>
            </w:pPr>
            <w:r>
              <w:t xml:space="preserve">Applicable Sales Tax (CA — 8.625%)</w:t>
            </w:r>
          </w:p>
        </w:tc>
        <w:tc>
          <w:tcPr/>
          <w:p>
            <w:pPr>
              <w:pStyle w:val="Compact"/>
              <w:jc w:val="left"/>
            </w:pPr>
            <w:r>
              <w:t xml:space="preserve">$18,285.38</w:t>
            </w:r>
          </w:p>
        </w:tc>
      </w:tr>
      <w:tr>
        <w:tc>
          <w:tcPr>
            <w:gridSpan w:val="5"/>
          </w:tcPr>
          <w:p>
            <w:pPr>
              <w:pStyle w:val="Compact"/>
              <w:jc w:val="right"/>
            </w:pPr>
            <w:r>
              <w:t xml:space="preserve">TOTAL QUOTATION ESTIMATE AMOUNT</w:t>
            </w:r>
          </w:p>
        </w:tc>
        <w:tc>
          <w:tcPr/>
          <w:p>
            <w:pPr>
              <w:pStyle w:val="Compact"/>
              <w:jc w:val="left"/>
            </w:pPr>
            <w:r>
              <w:t xml:space="preserve">$230,285.38</w:t>
            </w:r>
          </w:p>
        </w:tc>
      </w:tr>
    </w:tbl>
    <w:bookmarkEnd w:id="23"/>
    <w:bookmarkStart w:id="24" w:name="payment-terms"/>
    <w:p>
      <w:pPr>
        <w:pStyle w:val="Heading3"/>
      </w:pPr>
      <w:r>
        <w:t xml:space="preserve">3. Payment Terms</w:t>
      </w:r>
    </w:p>
    <w:p>
      <w:pPr>
        <w:pStyle w:val="FirstParagraph"/>
      </w:pPr>
      <w:r>
        <w:rPr>
          <w:bCs/>
          <w:b/>
        </w:rPr>
        <w:t xml:space="preserve">3.1</w:t>
      </w:r>
      <w:r>
        <w:t xml:space="preserve"> </w:t>
      </w:r>
      <w:r>
        <w:t xml:space="preserve">— A mobilization payment of twenty-five percent (25%) of the total</w:t>
      </w:r>
      <w:r>
        <w:t xml:space="preserve"> </w:t>
      </w:r>
      <w:r>
        <w:t xml:space="preserve">Quotation Estimate</w:t>
      </w:r>
      <w:r>
        <w:t xml:space="preserve"> </w:t>
      </w:r>
      <w:r>
        <w:t xml:space="preserve">value, amounting to $57,571.35, shall be due within ten (10) business days of mutual execution of this agreement.</w:t>
      </w:r>
    </w:p>
    <w:p>
      <w:pPr>
        <w:pStyle w:val="BodyText"/>
      </w:pPr>
      <w:r>
        <w:rPr>
          <w:bCs/>
          <w:b/>
        </w:rPr>
        <w:t xml:space="preserve">3.2</w:t>
      </w:r>
      <w:r>
        <w:t xml:space="preserve"> </w:t>
      </w:r>
      <w:r>
        <w:t xml:space="preserve">— Progress payments of twenty percent (20%) shall be invoiced at the completion of each major milestone as defined in the project schedule (Site Surveys, Design Delivery, Installation Completion, Commissioning).</w:t>
      </w:r>
    </w:p>
    <w:p>
      <w:pPr>
        <w:pStyle w:val="BodyText"/>
      </w:pPr>
      <w:r>
        <w:rPr>
          <w:bCs/>
          <w:b/>
        </w:rPr>
        <w:t xml:space="preserve">3.3</w:t>
      </w:r>
      <w:r>
        <w:t xml:space="preserve"> </w:t>
      </w:r>
      <w:r>
        <w:t xml:space="preserve">— The final balance of twenty-five percent (25%) shall be due within fifteen (15) business days of successful handover, acceptance of as-built documentation, and issuance of the Certificate of Completion by the designated</w:t>
      </w:r>
      <w:r>
        <w:t xml:space="preserve"> </w:t>
      </w:r>
      <w:r>
        <w:t xml:space="preserve">Telecommunication Engineer</w:t>
      </w:r>
      <w:r>
        <w:t xml:space="preserve"> </w:t>
      </w:r>
      <w:r>
        <w:t xml:space="preserve">of record.</w:t>
      </w:r>
    </w:p>
    <w:p>
      <w:pPr>
        <w:pStyle w:val="BodyText"/>
      </w:pPr>
      <w:r>
        <w:rPr>
          <w:bCs/>
          <w:b/>
        </w:rPr>
        <w:t xml:space="preserve">3.4</w:t>
      </w:r>
      <w:r>
        <w:t xml:space="preserve"> </w:t>
      </w:r>
      <w:r>
        <w:t xml:space="preserve">— All payments shall be made via wire transfer to the account designated by Bay Area Telecom Solutions Inc. Late payments shall accrue interest at a rate of 1.5% per month or the maximum rate permitted under California law, whichever is lower.</w:t>
      </w:r>
    </w:p>
    <w:bookmarkEnd w:id="24"/>
    <w:bookmarkStart w:id="25" w:name="terms-and-conditions"/>
    <w:p>
      <w:pPr>
        <w:pStyle w:val="Heading3"/>
      </w:pPr>
      <w:r>
        <w:t xml:space="preserve">4. Terms and Conditions</w:t>
      </w:r>
    </w:p>
    <w:p>
      <w:pPr>
        <w:pStyle w:val="FirstParagraph"/>
      </w:pPr>
      <w:r>
        <w:rPr>
          <w:bCs/>
          <w:b/>
        </w:rPr>
        <w:t xml:space="preserve">4.1</w:t>
      </w:r>
      <w:r>
        <w:t xml:space="preserve"> </w:t>
      </w:r>
      <w:r>
        <w:t xml:space="preserve">— This</w:t>
      </w:r>
      <w:r>
        <w:t xml:space="preserve"> </w:t>
      </w:r>
      <w:r>
        <w:t xml:space="preserve">Quotation Estimate</w:t>
      </w:r>
      <w:r>
        <w:t xml:space="preserve"> </w:t>
      </w:r>
      <w:r>
        <w:t xml:space="preserve">is valid for thirty (30) calendar days from the date of issue. After the expiration date, pricing and availability of the assigned</w:t>
      </w:r>
      <w:r>
        <w:t xml:space="preserve"> </w:t>
      </w:r>
      <w:r>
        <w:t xml:space="preserve">Telecommunication Engineer</w:t>
      </w:r>
      <w:r>
        <w:t xml:space="preserve"> </w:t>
      </w:r>
      <w:r>
        <w:t xml:space="preserve">team are subject to re-evaluation.</w:t>
      </w:r>
    </w:p>
    <w:p>
      <w:pPr>
        <w:pStyle w:val="BodyText"/>
      </w:pPr>
      <w:r>
        <w:rPr>
          <w:bCs/>
          <w:b/>
        </w:rPr>
        <w:t xml:space="preserve">4.2</w:t>
      </w:r>
      <w:r>
        <w:t xml:space="preserve"> </w:t>
      </w:r>
      <w:r>
        <w:t xml:space="preserve">— All work shall be performed in strict accordance with the National Electrical Code (NEC), TIA/EIA-568 standards, FCC Part 68 and Part 95 regulations, and all applicable building codes of the City and County of San Francisco, United States.</w:t>
      </w:r>
    </w:p>
    <w:p>
      <w:pPr>
        <w:pStyle w:val="BodyText"/>
      </w:pPr>
      <w:r>
        <w:rPr>
          <w:bCs/>
          <w:b/>
        </w:rPr>
        <w:t xml:space="preserve">4.3</w:t>
      </w:r>
      <w:r>
        <w:t xml:space="preserve"> </w:t>
      </w:r>
      <w:r>
        <w:t xml:space="preserve">— Bay Area Telecom Solutions Inc. shall maintain comprehensive General Liability Insurance (minimum $2,000,000 per occurrence), Professional Liability / Errors &amp; Omissions Insurance (minimum $5,000,000), and Workers' Compensation Insurance as required by the State of California throughout the duration of the project.</w:t>
      </w:r>
    </w:p>
    <w:p>
      <w:pPr>
        <w:pStyle w:val="BodyText"/>
      </w:pPr>
      <w:r>
        <w:rPr>
          <w:bCs/>
          <w:b/>
        </w:rPr>
        <w:t xml:space="preserve">4.4</w:t>
      </w:r>
      <w:r>
        <w:t xml:space="preserve"> </w:t>
      </w:r>
      <w:r>
        <w:t xml:space="preserve">— The Client shall provide timely access to all project sites within</w:t>
      </w:r>
      <w:r>
        <w:t xml:space="preserve"> </w:t>
      </w:r>
      <w:r>
        <w:t xml:space="preserve">United States San Francisco</w:t>
      </w:r>
      <w:r>
        <w:t xml:space="preserve">, including coordination with building management, property owners, and any third-party contractors. Delays in site access exceeding five (5) business days shall entitle the Engineer to a corresponding extension of the project timeline and associated cost adjustments.</w:t>
      </w:r>
    </w:p>
    <w:p>
      <w:pPr>
        <w:pStyle w:val="BodyText"/>
      </w:pPr>
      <w:r>
        <w:rPr>
          <w:bCs/>
          <w:b/>
        </w:rPr>
        <w:t xml:space="preserve">4.5</w:t>
      </w:r>
      <w:r>
        <w:t xml:space="preserve"> </w:t>
      </w:r>
      <w:r>
        <w:t xml:space="preserve">— Any changes to the scope of work beyond the parameters described in Section 1 shall be subject to a formal Change Order, signed by both parties, prior to execution of the additional work.</w:t>
      </w:r>
    </w:p>
    <w:p>
      <w:pPr>
        <w:pStyle w:val="BodyText"/>
      </w:pPr>
      <w:r>
        <w:rPr>
          <w:bCs/>
          <w:b/>
        </w:rPr>
        <w:t xml:space="preserve">4.6</w:t>
      </w:r>
      <w:r>
        <w:t xml:space="preserve"> </w:t>
      </w:r>
      <w:r>
        <w:t xml:space="preserve">— This agreement shall be governed by and construed in accordance with the laws of the State of California. Any disputes arising hereunder shall be resolved through binding arbitration in San Francisco, California, in accordance with the rules of the American Arbitration Association.</w:t>
      </w:r>
    </w:p>
    <w:p>
      <w:pPr>
        <w:pStyle w:val="BodyText"/>
      </w:pPr>
      <w:r>
        <w:rPr>
          <w:bCs/>
          <w:b/>
        </w:rPr>
        <w:t xml:space="preserve">4.7</w:t>
      </w:r>
      <w:r>
        <w:t xml:space="preserve"> </w:t>
      </w:r>
      <w:r>
        <w:t xml:space="preserve">— The</w:t>
      </w:r>
      <w:r>
        <w:t xml:space="preserve"> </w:t>
      </w:r>
      <w:r>
        <w:t xml:space="preserve">Telecommunication Engineer</w:t>
      </w:r>
      <w:r>
        <w:t xml:space="preserve"> </w:t>
      </w:r>
      <w:r>
        <w:t xml:space="preserve">services provided under this</w:t>
      </w:r>
      <w:r>
        <w:t xml:space="preserve"> </w:t>
      </w:r>
      <w:r>
        <w:t xml:space="preserve">Quotation Estimate</w:t>
      </w:r>
      <w:r>
        <w:t xml:space="preserve"> </w:t>
      </w:r>
      <w:r>
        <w:t xml:space="preserve">carry a warranty period of twenty-four (24) months from the date of final acceptance, covering defects in design, engineering, and installation workmanship.</w:t>
      </w:r>
    </w:p>
    <w:bookmarkEnd w:id="25"/>
    <w:bookmarkStart w:id="26" w:name="acceptance-and-authorization"/>
    <w:p>
      <w:pPr>
        <w:pStyle w:val="Heading3"/>
      </w:pPr>
      <w:r>
        <w:t xml:space="preserve">5. Acceptance and Authorization</w:t>
      </w:r>
    </w:p>
    <w:p>
      <w:pPr>
        <w:pStyle w:val="FirstParagraph"/>
      </w:pPr>
      <w:r>
        <w:t xml:space="preserve">By signing below, both parties acknowledge and agree to the terms, conditions, and pricing set forth in this</w:t>
      </w:r>
      <w:r>
        <w:t xml:space="preserve"> </w:t>
      </w:r>
      <w:r>
        <w:t xml:space="preserve">Quotation Estimate</w:t>
      </w:r>
      <w:r>
        <w:t xml:space="preserve"> </w:t>
      </w:r>
      <w:r>
        <w:t xml:space="preserve">for</w:t>
      </w:r>
      <w:r>
        <w:t xml:space="preserve"> </w:t>
      </w:r>
      <w:r>
        <w:t xml:space="preserve">Telecommunication Engineer</w:t>
      </w:r>
      <w:r>
        <w:t xml:space="preserve"> </w:t>
      </w:r>
      <w:r>
        <w:t xml:space="preserve">services to be delivered in</w:t>
      </w:r>
      <w:r>
        <w:t xml:space="preserve"> </w:t>
      </w:r>
      <w:r>
        <w:t xml:space="preserve">United States San Francisco</w:t>
      </w:r>
      <w:r>
        <w:t xml:space="preserve">.</w:t>
      </w:r>
    </w:p>
    <w:p>
      <w:pPr>
        <w:pStyle w:val="BodyText"/>
      </w:pPr>
      <w:r>
        <w:rPr>
          <w:bCs/>
          <w:b/>
        </w:rPr>
        <w:t xml:space="preserve">For Bay Area Telecom Solutions Inc. (Provider)</w:t>
      </w:r>
    </w:p>
    <w:p>
      <w:pPr>
        <w:pStyle w:val="BodyText"/>
      </w:pPr>
      <w:r>
        <w:rPr>
          <w:bCs/>
          <w:b/>
        </w:rPr>
        <w:t xml:space="preserve">Michael R. Tanaka, P.E.</w:t>
      </w:r>
      <w:r>
        <w:br/>
      </w:r>
      <w:r>
        <w:t xml:space="preserve">Senior Telecommunication Engineer &amp; Principal</w:t>
      </w:r>
      <w:r>
        <w:br/>
      </w:r>
      <w:r>
        <w:t xml:space="preserve">Date: ______________________</w:t>
      </w:r>
    </w:p>
    <w:p>
      <w:pPr>
        <w:pStyle w:val="BodyText"/>
      </w:pPr>
      <w:r>
        <w:rPr>
          <w:bCs/>
          <w:b/>
        </w:rPr>
        <w:t xml:space="preserve">For Golden Gate Infrastructure Partners LLC (Client)</w:t>
      </w:r>
    </w:p>
    <w:p>
      <w:pPr>
        <w:pStyle w:val="BodyText"/>
      </w:pPr>
      <w:r>
        <w:rPr>
          <w:bCs/>
          <w:b/>
        </w:rPr>
        <w:t xml:space="preserve">Authorized Representative</w:t>
      </w:r>
      <w:r>
        <w:br/>
      </w:r>
      <w:r>
        <w:t xml:space="preserve">Name: ______________________</w:t>
      </w:r>
      <w:r>
        <w:br/>
      </w:r>
      <w:r>
        <w:t xml:space="preserve">Title: ______________________</w:t>
      </w:r>
      <w:r>
        <w:br/>
      </w:r>
      <w:r>
        <w:t xml:space="preserve">Date: ______________________</w:t>
      </w:r>
    </w:p>
    <w:p>
      <w:pPr>
        <w:pStyle w:val="BodyText"/>
      </w:pPr>
      <w:r>
        <w:rPr>
          <w:bCs/>
          <w:b/>
        </w:rPr>
        <w:t xml:space="preserve">Important Notice:</w:t>
      </w:r>
      <w:r>
        <w:t xml:space="preserve"> </w:t>
      </w:r>
      <w:r>
        <w:t xml:space="preserve">This Quotation Estimate is a commercial document issued for the purpose of obtaining client approval for the engagement of Telecommunication Engineer services. It does not constitute a binding contract until countersigned by both parties. All figures are quoted in United States Dollars (USD). Bay Area Telecom Solutions Inc. is a licensed telecommunications contractor operating in the State of California, United States San Francisco. 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dc:title>
  <dc:creator/>
  <dc:language>en</dc:language>
  <cp:keywords/>
  <dcterms:created xsi:type="dcterms:W3CDTF">2026-10-10T03:14:20Z</dcterms:created>
  <dcterms:modified xsi:type="dcterms:W3CDTF">2026-10-10T03:14:20Z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