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Telecommunication Engineer Services</w:t>
      </w:r>
    </w:p>
    <w:p>
      <w:pPr>
        <w:pStyle w:val="BodyText"/>
      </w:pPr>
      <w:r>
        <w:t xml:space="preserve">Vietnam Ho Chi Minh City</w:t>
      </w:r>
    </w:p>
    <w:bookmarkEnd w:id="20"/>
    <w:p>
      <w:pPr>
        <w:pStyle w:val="BodyText"/>
      </w:pPr>
      <w:r>
        <w:rPr>
          <w:bCs/>
          <w:b/>
        </w:rPr>
        <w:t xml:space="preserve">Quotation No.:</w:t>
      </w:r>
      <w:r>
        <w:t xml:space="preserve"> </w:t>
      </w:r>
      <w:r>
        <w:t xml:space="preserve">QTE-VNM-HCM-2025-0472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Nguyen Van Minh</w:t>
      </w:r>
      <w:r>
        <w:br/>
      </w:r>
      <w:r>
        <w:rPr>
          <w:bCs/>
          <w:b/>
        </w:rPr>
        <w:t xml:space="preserve">Position:</w:t>
      </w:r>
      <w:r>
        <w:t xml:space="preserve"> </w:t>
      </w:r>
      <w:r>
        <w:t xml:space="preserve">Senior Telecommunication Engineer</w:t>
      </w:r>
      <w:r>
        <w:br/>
      </w:r>
      <w:r>
        <w:rPr>
          <w:bCs/>
          <w:b/>
        </w:rPr>
        <w:t xml:space="preserve">Company:</w:t>
      </w:r>
      <w:r>
        <w:t xml:space="preserve"> </w:t>
      </w:r>
      <w:r>
        <w:t xml:space="preserve">Saigon Telecom Solutions Co., Ltd.</w:t>
      </w:r>
      <w:r>
        <w:br/>
      </w:r>
      <w:r>
        <w:rPr>
          <w:bCs/>
          <w:b/>
        </w:rPr>
        <w:t xml:space="preserve">Address:</w:t>
      </w:r>
      <w:r>
        <w:t xml:space="preserve"> </w:t>
      </w:r>
      <w:r>
        <w:t xml:space="preserve">128 Le Duan Street, District 3, Ho Chi Minh City, Vietnam</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Phuoc An Industrial Park Management JSC</w:t>
            </w:r>
          </w:p>
        </w:tc>
      </w:tr>
      <w:tr>
        <w:tc>
          <w:tcPr/>
          <w:p>
            <w:pPr>
              <w:pStyle w:val="Compact"/>
              <w:jc w:val="left"/>
            </w:pPr>
            <w:r>
              <w:t xml:space="preserve">Project Location</w:t>
            </w:r>
          </w:p>
        </w:tc>
        <w:tc>
          <w:tcPr/>
          <w:p>
            <w:pPr>
              <w:pStyle w:val="Compact"/>
              <w:jc w:val="left"/>
            </w:pPr>
            <w:r>
              <w:t xml:space="preserve">Phuoc An Industrial Park, Binh Chanh District, Vietnam Ho Chi Minh City</w:t>
            </w:r>
          </w:p>
        </w:tc>
      </w:tr>
      <w:tr>
        <w:tc>
          <w:tcPr/>
          <w:p>
            <w:pPr>
              <w:pStyle w:val="Compact"/>
              <w:jc w:val="left"/>
            </w:pPr>
            <w:r>
              <w:t xml:space="preserve">Contact Person</w:t>
            </w:r>
          </w:p>
        </w:tc>
        <w:tc>
          <w:tcPr/>
          <w:p>
            <w:pPr>
              <w:pStyle w:val="Compact"/>
              <w:jc w:val="left"/>
            </w:pPr>
            <w:r>
              <w:t xml:space="preserve">Mr. Tran Quoc Bao – Director of Infrastructure</w:t>
            </w:r>
          </w:p>
        </w:tc>
      </w:tr>
      <w:tr>
        <w:tc>
          <w:tcPr/>
          <w:p>
            <w:pPr>
              <w:pStyle w:val="Compact"/>
              <w:jc w:val="left"/>
            </w:pPr>
            <w:r>
              <w:t xml:space="preserve">Project Reference</w:t>
            </w:r>
          </w:p>
        </w:tc>
        <w:tc>
          <w:tcPr/>
          <w:p>
            <w:pPr>
              <w:pStyle w:val="Compact"/>
              <w:jc w:val="left"/>
            </w:pPr>
            <w:r>
              <w:t xml:space="preserve">PAIP-TELECOM-2025-Phase II</w:t>
            </w:r>
          </w:p>
        </w:tc>
      </w:tr>
    </w:tbl>
    <w:bookmarkEnd w:id="21"/>
    <w:bookmarkStart w:id="22" w:name="scope-of-work"/>
    <w:p>
      <w:pPr>
        <w:pStyle w:val="Heading2"/>
      </w:pPr>
      <w:r>
        <w:t xml:space="preserve">2. Scope of Work</w:t>
      </w:r>
    </w:p>
    <w:p>
      <w:pPr>
        <w:pStyle w:val="FirstParagraph"/>
      </w:pPr>
      <w:r>
        <w:t xml:space="preserve">This</w:t>
      </w:r>
      <w:r>
        <w:t xml:space="preserve"> </w:t>
      </w:r>
      <w:r>
        <w:t xml:space="preserve">Quotation Estimate</w:t>
      </w:r>
      <w:r>
        <w:t xml:space="preserve"> </w:t>
      </w:r>
      <w:r>
        <w:t xml:space="preserve">is issued by Saigon Telecom Solutions Co., Ltd. to provide comprehensive professional services of a</w:t>
      </w:r>
      <w:r>
        <w:t xml:space="preserve"> </w:t>
      </w:r>
      <w:r>
        <w:t xml:space="preserve">Telecommunication Engineer</w:t>
      </w:r>
      <w:r>
        <w:t xml:space="preserve"> </w:t>
      </w:r>
      <w:r>
        <w:t xml:space="preserve">for the design, installation, testing, and commissioning of the Phase II telecommunications infrastructure at the Phuoc An Industrial Park located in</w:t>
      </w:r>
      <w:r>
        <w:t xml:space="preserve"> </w:t>
      </w:r>
      <w:r>
        <w:t xml:space="preserve">Vietnam Ho Chi Minh City</w:t>
      </w:r>
      <w:r>
        <w:t xml:space="preserve">. The scope encompasses the following key deliverables:</w:t>
      </w:r>
    </w:p>
    <w:p>
      <w:pPr>
        <w:numPr>
          <w:ilvl w:val="0"/>
          <w:numId w:val="1001"/>
        </w:numPr>
        <w:pStyle w:val="Compact"/>
      </w:pPr>
      <w:r>
        <w:t xml:space="preserve">Site survey and feasibility assessment of existing telecommunications infrastructure across the 45-hectare industrial park in Vietnam Ho Chi Minh City.</w:t>
      </w:r>
    </w:p>
    <w:p>
      <w:pPr>
        <w:numPr>
          <w:ilvl w:val="0"/>
          <w:numId w:val="1001"/>
        </w:numPr>
        <w:pStyle w:val="Compact"/>
      </w:pPr>
      <w:r>
        <w:t xml:space="preserve">Design and engineering of a fiber-optic backbone network (single-mode, 96-core) connecting all 32 factory buildings and administrative blocks.</w:t>
      </w:r>
    </w:p>
    <w:p>
      <w:pPr>
        <w:numPr>
          <w:ilvl w:val="0"/>
          <w:numId w:val="1001"/>
        </w:numPr>
        <w:pStyle w:val="Compact"/>
      </w:pPr>
      <w:r>
        <w:t xml:space="preserve">Installation and configuration of 4G/5G small-cell base stations to ensure full wireless coverage throughout the Vietnam Ho Chi Minh City industrial zone.</w:t>
      </w:r>
    </w:p>
    <w:p>
      <w:pPr>
        <w:numPr>
          <w:ilvl w:val="0"/>
          <w:numId w:val="1001"/>
        </w:numPr>
        <w:pStyle w:val="Compact"/>
      </w:pPr>
      <w:r>
        <w:t xml:space="preserve">Deployment of structured cabling (Cat 6A) for data, voice, and security systems in all designated buildings.</w:t>
      </w:r>
    </w:p>
    <w:p>
      <w:pPr>
        <w:numPr>
          <w:ilvl w:val="0"/>
          <w:numId w:val="1001"/>
        </w:numPr>
        <w:pStyle w:val="Compact"/>
      </w:pPr>
      <w:r>
        <w:t xml:space="preserve">Integration of the telecommunications network with the existing SCADA and building management systems.</w:t>
      </w:r>
    </w:p>
    <w:p>
      <w:pPr>
        <w:numPr>
          <w:ilvl w:val="0"/>
          <w:numId w:val="1001"/>
        </w:numPr>
        <w:pStyle w:val="Compact"/>
      </w:pPr>
      <w:r>
        <w:t xml:space="preserve">Performance testing, load balancing, and full commissioning of all installed telecommunications equipment.</w:t>
      </w:r>
    </w:p>
    <w:p>
      <w:pPr>
        <w:numPr>
          <w:ilvl w:val="0"/>
          <w:numId w:val="1001"/>
        </w:numPr>
        <w:pStyle w:val="Compact"/>
      </w:pPr>
      <w:r>
        <w:t xml:space="preserve">Preparation of as-built documentation, network topology diagrams, and operational maintenance manuals.</w:t>
      </w:r>
    </w:p>
    <w:p>
      <w:pPr>
        <w:numPr>
          <w:ilvl w:val="0"/>
          <w:numId w:val="1001"/>
        </w:numPr>
        <w:pStyle w:val="Compact"/>
      </w:pPr>
      <w:r>
        <w:t xml:space="preserve">Training sessions for the client's in-house technical staff on network monitoring and basic troubleshooting.</w:t>
      </w:r>
    </w:p>
    <w:bookmarkEnd w:id="22"/>
    <w:bookmarkStart w:id="23" w:name="professional-services-and-rate-breakdown"/>
    <w:p>
      <w:pPr>
        <w:pStyle w:val="Heading2"/>
      </w:pPr>
      <w:r>
        <w:t xml:space="preserve">3. Professional Services and Rate Breakdown</w:t>
      </w:r>
    </w:p>
    <w:p>
      <w:pPr>
        <w:pStyle w:val="FirstParagraph"/>
      </w:pPr>
      <w:r>
        <w:t xml:space="preserve">The following</w:t>
      </w:r>
      <w:r>
        <w:t xml:space="preserve"> </w:t>
      </w:r>
      <w:r>
        <w:t xml:space="preserve">Quotation Estimate</w:t>
      </w:r>
      <w:r>
        <w:t xml:space="preserve"> </w:t>
      </w:r>
      <w:r>
        <w:t xml:space="preserve">details the professional fees for the</w:t>
      </w:r>
      <w:r>
        <w:t xml:space="preserve"> </w:t>
      </w:r>
      <w:r>
        <w:t xml:space="preserve">Telecommunication Engineer</w:t>
      </w:r>
      <w:r>
        <w:t xml:space="preserve"> </w:t>
      </w:r>
      <w:r>
        <w:t xml:space="preserve">services to be rendered in</w:t>
      </w:r>
      <w:r>
        <w:t xml:space="preserve"> </w:t>
      </w:r>
      <w:r>
        <w:t xml:space="preserve">Vietnam Ho Chi Minh City</w:t>
      </w:r>
      <w:r>
        <w:t xml:space="preserve">. All rates are quoted in Vietnamese Dong (VND) and are inclusive of applicable local taxes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(VND)</w:t>
            </w:r>
          </w:p>
        </w:tc>
        <w:tc>
          <w:tcPr/>
          <w:p>
            <w:pPr>
              <w:pStyle w:val="Compact"/>
              <w:jc w:val="left"/>
            </w:pPr>
            <w:r>
              <w:t xml:space="preserve">Amount (VND)</w:t>
            </w:r>
          </w:p>
        </w:tc>
      </w:tr>
      <w:tr>
        <w:tc>
          <w:tcPr/>
          <w:p>
            <w:pPr>
              <w:pStyle w:val="Compact"/>
              <w:jc w:val="left"/>
            </w:pPr>
            <w:r>
              <w:t xml:space="preserve">01</w:t>
            </w:r>
          </w:p>
        </w:tc>
        <w:tc>
          <w:tcPr/>
          <w:p>
            <w:pPr>
              <w:pStyle w:val="Compact"/>
              <w:jc w:val="left"/>
            </w:pPr>
            <w:r>
              <w:t xml:space="preserve">Site survey and feasibility study – Telecommunication Engineer on-site assessment in Vietnam Ho Chi Minh City</w:t>
            </w:r>
          </w:p>
        </w:tc>
        <w:tc>
          <w:tcPr/>
          <w:p>
            <w:pPr>
              <w:pStyle w:val="Compact"/>
              <w:jc w:val="left"/>
            </w:pPr>
            <w:r>
              <w:t xml:space="preserve">5 working days</w:t>
            </w:r>
          </w:p>
        </w:tc>
        <w:tc>
          <w:tcPr/>
          <w:p>
            <w:pPr>
              <w:pStyle w:val="Compact"/>
              <w:jc w:val="left"/>
            </w:pPr>
            <w:r>
              <w:t xml:space="preserve">8,500,000</w:t>
            </w:r>
          </w:p>
        </w:tc>
        <w:tc>
          <w:tcPr/>
          <w:p>
            <w:pPr>
              <w:pStyle w:val="Compact"/>
              <w:jc w:val="left"/>
            </w:pPr>
            <w:r>
              <w:t xml:space="preserve">42,500,000</w:t>
            </w:r>
          </w:p>
        </w:tc>
      </w:tr>
      <w:tr>
        <w:tc>
          <w:tcPr/>
          <w:p>
            <w:pPr>
              <w:pStyle w:val="Compact"/>
              <w:jc w:val="left"/>
            </w:pPr>
            <w:r>
              <w:t xml:space="preserve">02</w:t>
            </w:r>
          </w:p>
        </w:tc>
        <w:tc>
          <w:tcPr/>
          <w:p>
            <w:pPr>
              <w:pStyle w:val="Compact"/>
              <w:jc w:val="left"/>
            </w:pPr>
            <w:r>
              <w:t xml:space="preserve">Network design and engineering documentation (fiber backbone, small-cell layout, structured cabling plans)</w:t>
            </w:r>
          </w:p>
        </w:tc>
        <w:tc>
          <w:tcPr/>
          <w:p>
            <w:pPr>
              <w:pStyle w:val="Compact"/>
              <w:jc w:val="left"/>
            </w:pPr>
            <w:r>
              <w:t xml:space="preserve">10 working days</w:t>
            </w:r>
          </w:p>
        </w:tc>
        <w:tc>
          <w:tcPr/>
          <w:p>
            <w:pPr>
              <w:pStyle w:val="Compact"/>
              <w:jc w:val="left"/>
            </w:pPr>
            <w:r>
              <w:t xml:space="preserve">9,200,000</w:t>
            </w:r>
          </w:p>
        </w:tc>
        <w:tc>
          <w:tcPr/>
          <w:p>
            <w:pPr>
              <w:pStyle w:val="Compact"/>
              <w:jc w:val="left"/>
            </w:pPr>
            <w:r>
              <w:t xml:space="preserve">92,000,000</w:t>
            </w:r>
          </w:p>
        </w:tc>
      </w:tr>
      <w:tr>
        <w:tc>
          <w:tcPr/>
          <w:p>
            <w:pPr>
              <w:pStyle w:val="Compact"/>
              <w:jc w:val="left"/>
            </w:pPr>
            <w:r>
              <w:t xml:space="preserve">03</w:t>
            </w:r>
          </w:p>
        </w:tc>
        <w:tc>
          <w:tcPr/>
          <w:p>
            <w:pPr>
              <w:pStyle w:val="Compact"/>
              <w:jc w:val="left"/>
            </w:pPr>
            <w:r>
              <w:t xml:space="preserve">Supervision of fiber-optic backbone installation and splicing (96-core, 4.2 km total)</w:t>
            </w:r>
          </w:p>
        </w:tc>
        <w:tc>
          <w:tcPr/>
          <w:p>
            <w:pPr>
              <w:pStyle w:val="Compact"/>
              <w:jc w:val="left"/>
            </w:pPr>
            <w:r>
              <w:t xml:space="preserve">20 working days</w:t>
            </w:r>
          </w:p>
        </w:tc>
        <w:tc>
          <w:tcPr/>
          <w:p>
            <w:pPr>
              <w:pStyle w:val="Compact"/>
              <w:jc w:val="left"/>
            </w:pPr>
            <w:r>
              <w:t xml:space="preserve">10,500,000</w:t>
            </w:r>
          </w:p>
        </w:tc>
        <w:tc>
          <w:tcPr/>
          <w:p>
            <w:pPr>
              <w:pStyle w:val="Compact"/>
              <w:jc w:val="left"/>
            </w:pPr>
            <w:r>
              <w:t xml:space="preserve">210,000,000</w:t>
            </w:r>
          </w:p>
        </w:tc>
      </w:tr>
      <w:tr>
        <w:tc>
          <w:tcPr/>
          <w:p>
            <w:pPr>
              <w:pStyle w:val="Compact"/>
              <w:jc w:val="left"/>
            </w:pPr>
            <w:r>
              <w:t xml:space="preserve">04</w:t>
            </w:r>
          </w:p>
        </w:tc>
        <w:tc>
          <w:tcPr/>
          <w:p>
            <w:pPr>
              <w:pStyle w:val="Compact"/>
              <w:jc w:val="left"/>
            </w:pPr>
            <w:r>
              <w:t xml:space="preserve">Installation and configuration of 4G/5G small-cell base stations (12 units)</w:t>
            </w:r>
          </w:p>
        </w:tc>
        <w:tc>
          <w:tcPr/>
          <w:p>
            <w:pPr>
              <w:pStyle w:val="Compact"/>
              <w:jc w:val="left"/>
            </w:pPr>
            <w:r>
              <w:t xml:space="preserve">15 working days</w:t>
            </w:r>
          </w:p>
        </w:tc>
        <w:tc>
          <w:tcPr/>
          <w:p>
            <w:pPr>
              <w:pStyle w:val="Compact"/>
              <w:jc w:val="left"/>
            </w:pPr>
            <w:r>
              <w:t xml:space="preserve">11,000,000</w:t>
            </w:r>
          </w:p>
        </w:tc>
        <w:tc>
          <w:tcPr/>
          <w:p>
            <w:pPr>
              <w:pStyle w:val="Compact"/>
              <w:jc w:val="left"/>
            </w:pPr>
            <w:r>
              <w:t xml:space="preserve">165,000,000</w:t>
            </w:r>
          </w:p>
        </w:tc>
      </w:tr>
      <w:tr>
        <w:tc>
          <w:tcPr/>
          <w:p>
            <w:pPr>
              <w:pStyle w:val="Compact"/>
              <w:jc w:val="left"/>
            </w:pPr>
            <w:r>
              <w:t xml:space="preserve">05</w:t>
            </w:r>
          </w:p>
        </w:tc>
        <w:tc>
          <w:tcPr/>
          <w:p>
            <w:pPr>
              <w:pStyle w:val="Compact"/>
              <w:jc w:val="left"/>
            </w:pPr>
            <w:r>
              <w:t xml:space="preserve">Structured cabling deployment and termination (Cat 6A, 3,200 points)</w:t>
            </w:r>
          </w:p>
        </w:tc>
        <w:tc>
          <w:tcPr/>
          <w:p>
            <w:pPr>
              <w:pStyle w:val="Compact"/>
              <w:jc w:val="left"/>
            </w:pPr>
            <w:r>
              <w:t xml:space="preserve">25 working days</w:t>
            </w:r>
          </w:p>
        </w:tc>
        <w:tc>
          <w:tcPr/>
          <w:p>
            <w:pPr>
              <w:pStyle w:val="Compact"/>
              <w:jc w:val="left"/>
            </w:pPr>
            <w:r>
              <w:t xml:space="preserve">9,800,000</w:t>
            </w:r>
          </w:p>
        </w:tc>
        <w:tc>
          <w:tcPr/>
          <w:p>
            <w:pPr>
              <w:pStyle w:val="Compact"/>
              <w:jc w:val="left"/>
            </w:pPr>
            <w:r>
              <w:t xml:space="preserve">245,000,000</w:t>
            </w:r>
          </w:p>
        </w:tc>
      </w:tr>
      <w:tr>
        <w:tc>
          <w:tcPr/>
          <w:p>
            <w:pPr>
              <w:pStyle w:val="Compact"/>
              <w:jc w:val="left"/>
            </w:pPr>
            <w:r>
              <w:t xml:space="preserve">06</w:t>
            </w:r>
          </w:p>
        </w:tc>
        <w:tc>
          <w:tcPr/>
          <w:p>
            <w:pPr>
              <w:pStyle w:val="Compact"/>
              <w:jc w:val="left"/>
            </w:pPr>
            <w:r>
              <w:t xml:space="preserve">System integration, performance testing, and commissioning</w:t>
            </w:r>
          </w:p>
        </w:tc>
        <w:tc>
          <w:tcPr/>
          <w:p>
            <w:pPr>
              <w:pStyle w:val="Compact"/>
              <w:jc w:val="left"/>
            </w:pPr>
            <w:r>
              <w:t xml:space="preserve">10 working days</w:t>
            </w:r>
          </w:p>
        </w:tc>
        <w:tc>
          <w:tcPr/>
          <w:p>
            <w:pPr>
              <w:pStyle w:val="Compact"/>
              <w:jc w:val="left"/>
            </w:pPr>
            <w:r>
              <w:t xml:space="preserve">12,000,000</w:t>
            </w:r>
          </w:p>
        </w:tc>
        <w:tc>
          <w:tcPr/>
          <w:p>
            <w:pPr>
              <w:pStyle w:val="Compact"/>
              <w:jc w:val="left"/>
            </w:pPr>
            <w:r>
              <w:t xml:space="preserve">120,000,000</w:t>
            </w:r>
          </w:p>
        </w:tc>
      </w:tr>
      <w:tr>
        <w:tc>
          <w:tcPr/>
          <w:p>
            <w:pPr>
              <w:pStyle w:val="Compact"/>
              <w:jc w:val="left"/>
            </w:pPr>
            <w:r>
              <w:t xml:space="preserve">07</w:t>
            </w:r>
          </w:p>
        </w:tc>
        <w:tc>
          <w:tcPr/>
          <w:p>
            <w:pPr>
              <w:pStyle w:val="Compact"/>
              <w:jc w:val="left"/>
            </w:pPr>
            <w:r>
              <w:t xml:space="preserve">Documentation, as-built drawings, and operational manuals</w:t>
            </w:r>
          </w:p>
        </w:tc>
        <w:tc>
          <w:tcPr/>
          <w:p>
            <w:pPr>
              <w:pStyle w:val="Compact"/>
              <w:jc w:val="left"/>
            </w:pPr>
            <w:r>
              <w:t xml:space="preserve">5 working days</w:t>
            </w:r>
          </w:p>
        </w:tc>
        <w:tc>
          <w:tcPr/>
          <w:p>
            <w:pPr>
              <w:pStyle w:val="Compact"/>
              <w:jc w:val="left"/>
            </w:pPr>
            <w:r>
              <w:t xml:space="preserve">7,500,000</w:t>
            </w:r>
          </w:p>
        </w:tc>
        <w:tc>
          <w:tcPr/>
          <w:p>
            <w:pPr>
              <w:pStyle w:val="Compact"/>
              <w:jc w:val="left"/>
            </w:pPr>
            <w:r>
              <w:t xml:space="preserve">37,500,000</w:t>
            </w:r>
          </w:p>
        </w:tc>
      </w:tr>
      <w:tr>
        <w:tc>
          <w:tcPr/>
          <w:p>
            <w:pPr>
              <w:pStyle w:val="Compact"/>
              <w:jc w:val="left"/>
            </w:pPr>
            <w:r>
              <w:t xml:space="preserve">08</w:t>
            </w:r>
          </w:p>
        </w:tc>
        <w:tc>
          <w:tcPr/>
          <w:p>
            <w:pPr>
              <w:pStyle w:val="Compact"/>
              <w:jc w:val="left"/>
            </w:pPr>
            <w:r>
              <w:t xml:space="preserve">Client staff training (2 sessions, 8 hours each)</w:t>
            </w:r>
          </w:p>
        </w:tc>
        <w:tc>
          <w:tcPr/>
          <w:p>
            <w:pPr>
              <w:pStyle w:val="Compact"/>
              <w:jc w:val="left"/>
            </w:pPr>
            <w:r>
              <w:t xml:space="preserve">2 days</w:t>
            </w:r>
          </w:p>
        </w:tc>
        <w:tc>
          <w:tcPr/>
          <w:p>
            <w:pPr>
              <w:pStyle w:val="Compact"/>
              <w:jc w:val="left"/>
            </w:pPr>
            <w:r>
              <w:t xml:space="preserve">6,500,000</w:t>
            </w:r>
          </w:p>
        </w:tc>
        <w:tc>
          <w:tcPr/>
          <w:p>
            <w:pPr>
              <w:pStyle w:val="Compact"/>
              <w:jc w:val="left"/>
            </w:pPr>
            <w:r>
              <w:t xml:space="preserve">13,000,000</w:t>
            </w:r>
          </w:p>
        </w:tc>
      </w:tr>
      <w:tr>
        <w:tc>
          <w:tcPr>
            <w:gridSpan w:val="4"/>
          </w:tcPr>
          <w:p>
            <w:pPr>
              <w:pStyle w:val="Compact"/>
              <w:jc w:val="left"/>
            </w:pPr>
            <w:r>
              <w:t xml:space="preserve">Subtotal</w:t>
            </w:r>
          </w:p>
        </w:tc>
        <w:tc>
          <w:tcPr/>
          <w:p>
            <w:pPr>
              <w:pStyle w:val="Compact"/>
              <w:jc w:val="left"/>
            </w:pPr>
            <w:r>
              <w:t xml:space="preserve">925,000,000</w:t>
            </w:r>
          </w:p>
        </w:tc>
      </w:tr>
      <w:tr>
        <w:tc>
          <w:tcPr>
            <w:gridSpan w:val="4"/>
          </w:tcPr>
          <w:p>
            <w:pPr>
              <w:pStyle w:val="Compact"/>
              <w:jc w:val="left"/>
            </w:pPr>
            <w:r>
              <w:t xml:space="preserve">VAT (10%)</w:t>
            </w:r>
          </w:p>
        </w:tc>
        <w:tc>
          <w:tcPr/>
          <w:p>
            <w:pPr>
              <w:pStyle w:val="Compact"/>
              <w:jc w:val="left"/>
            </w:pPr>
            <w:r>
              <w:t xml:space="preserve">92,500,000</w:t>
            </w:r>
          </w:p>
        </w:tc>
      </w:tr>
      <w:tr>
        <w:tc>
          <w:tcPr>
            <w:gridSpan w:val="4"/>
          </w:tcPr>
          <w:p>
            <w:pPr>
              <w:pStyle w:val="Compact"/>
              <w:jc w:val="left"/>
            </w:pPr>
            <w:r>
              <w:t xml:space="preserve">Grand Total (VND)</w:t>
            </w:r>
          </w:p>
        </w:tc>
        <w:tc>
          <w:tcPr/>
          <w:p>
            <w:pPr>
              <w:pStyle w:val="Compact"/>
              <w:jc w:val="left"/>
            </w:pPr>
            <w:r>
              <w:t xml:space="preserve">1,017,500,000</w:t>
            </w:r>
          </w:p>
        </w:tc>
      </w:tr>
    </w:tbl>
    <w:bookmarkEnd w:id="23"/>
    <w:bookmarkStart w:id="24" w:name="project-timeline"/>
    <w:p>
      <w:pPr>
        <w:pStyle w:val="Heading2"/>
      </w:pPr>
      <w:r>
        <w:t xml:space="preserve">4. Project Timeline</w:t>
      </w:r>
    </w:p>
    <w:p>
      <w:pPr>
        <w:pStyle w:val="FirstParagraph"/>
      </w:pPr>
      <w:r>
        <w:t xml:space="preserve">The estimated total duration for the</w:t>
      </w:r>
      <w:r>
        <w:t xml:space="preserve"> </w:t>
      </w:r>
      <w:r>
        <w:t xml:space="preserve">Telecommunication Engineer</w:t>
      </w:r>
      <w:r>
        <w:t xml:space="preserve"> </w:t>
      </w:r>
      <w:r>
        <w:t xml:space="preserve">engagement in</w:t>
      </w:r>
      <w:r>
        <w:t xml:space="preserve"> </w:t>
      </w:r>
      <w:r>
        <w:t xml:space="preserve">Vietnam Ho Chi Minh City</w:t>
      </w:r>
      <w:r>
        <w:t xml:space="preserve"> </w:t>
      </w:r>
      <w:r>
        <w:t xml:space="preserve">is approximately 92 working days (approximately 4.5 months), commencing from the date of contract execution. A detailed Gantt chart and milestone schedule will be provided as an annex to the final contract. The project timeline has been specifically calibrated to account for the monsoon season in Vietnam Ho Chi Minh City, which may affect outdoor fiber-optic laying activities.</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the expiry date, all rates and availability of the</w:t>
      </w:r>
      <w:r>
        <w:t xml:space="preserve"> </w:t>
      </w:r>
      <w:r>
        <w:t xml:space="preserve">Telecommunication Engineer</w:t>
      </w:r>
      <w:r>
        <w:t xml:space="preserve"> </w:t>
      </w:r>
      <w:r>
        <w:t xml:space="preserve">must be reconfirmed in writing.</w:t>
      </w:r>
    </w:p>
    <w:p>
      <w:pPr>
        <w:numPr>
          <w:ilvl w:val="0"/>
          <w:numId w:val="1002"/>
        </w:numPr>
        <w:pStyle w:val="Compact"/>
      </w:pPr>
      <w:r>
        <w:t xml:space="preserve">Payment terms: 30% advance payment upon contract signing, 40% upon completion of installation works, and 30% upon final acceptance and handover of all documentation.</w:t>
      </w:r>
    </w:p>
    <w:p>
      <w:pPr>
        <w:numPr>
          <w:ilvl w:val="0"/>
          <w:numId w:val="1002"/>
        </w:numPr>
        <w:pStyle w:val="Compact"/>
      </w:pPr>
      <w:r>
        <w:t xml:space="preserve">All work shall comply with the Vietnamese Telecommunications Law, the standards of the Ministry of Information and Communications of Vietnam, and the local regulations applicable in Vietnam Ho Chi Minh City.</w:t>
      </w:r>
    </w:p>
    <w:p>
      <w:pPr>
        <w:numPr>
          <w:ilvl w:val="0"/>
          <w:numId w:val="1002"/>
        </w:numPr>
        <w:pStyle w:val="Compact"/>
      </w:pPr>
      <w:r>
        <w:t xml:space="preserve">The</w:t>
      </w:r>
      <w:r>
        <w:t xml:space="preserve"> </w:t>
      </w:r>
      <w:r>
        <w:t xml:space="preserve">Telecommunication Engineer</w:t>
      </w:r>
      <w:r>
        <w:t xml:space="preserve"> </w:t>
      </w:r>
      <w:r>
        <w:t xml:space="preserve">shall maintain full professional liability insurance and work-at-height certification as required for telecommunications infrastructure work in Vietnam Ho Chi Minh City.</w:t>
      </w:r>
    </w:p>
    <w:p>
      <w:pPr>
        <w:numPr>
          <w:ilvl w:val="0"/>
          <w:numId w:val="1002"/>
        </w:numPr>
        <w:pStyle w:val="Compact"/>
      </w:pPr>
      <w:r>
        <w:t xml:space="preserve">Any changes to the scope of work must be documented via a formal variation order signed by both parties before additional work commences.</w:t>
      </w:r>
    </w:p>
    <w:p>
      <w:pPr>
        <w:numPr>
          <w:ilvl w:val="0"/>
          <w:numId w:val="1002"/>
        </w:numPr>
        <w:pStyle w:val="Compact"/>
      </w:pPr>
      <w:r>
        <w:t xml:space="preserve">The warranty period for all installed telecommunications equipment and workmanship is 24 months from the date of final commissioning.</w:t>
      </w:r>
    </w:p>
    <w:p>
      <w:pPr>
        <w:numPr>
          <w:ilvl w:val="0"/>
          <w:numId w:val="1002"/>
        </w:numPr>
        <w:pStyle w:val="Compact"/>
      </w:pPr>
      <w:r>
        <w:t xml:space="preserve">Disputes arising from this engagement shall be resolved through arbitration in accordance with the rules of the Vietnam International Arbitration Centre (VIAC) in Ho Chi Minh City.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Telecommunication Engineer</w:t>
      </w:r>
      <w:r>
        <w:t xml:space="preserve"> </w:t>
      </w:r>
      <w:r>
        <w:t xml:space="preserve">services in</w:t>
      </w:r>
      <w:r>
        <w:t xml:space="preserve"> </w:t>
      </w:r>
      <w:r>
        <w:t xml:space="preserve">Vietnam Ho Chi Minh City</w:t>
      </w:r>
      <w:r>
        <w:t xml:space="preserve"> </w:t>
      </w:r>
      <w:r>
        <w:t xml:space="preserve">and agrees to the terms, conditions, and pricing outlined herein. This acceptance does not constitute a binding contract until a formal agreement is executed.</w:t>
      </w:r>
    </w:p>
    <w:p>
      <w:pPr>
        <w:pStyle w:val="BodyText"/>
      </w:pPr>
      <w:r>
        <w:rPr>
          <w:bCs/>
          <w:b/>
        </w:rPr>
        <w:t xml:space="preserve">For and on behalf of:</w:t>
      </w:r>
      <w:r>
        <w:br/>
      </w:r>
      <w:r>
        <w:t xml:space="preserve">Saigon Telecom Solutions Co., Ltd.</w:t>
      </w:r>
    </w:p>
    <w:p>
      <w:pPr>
        <w:pStyle w:val="BodyText"/>
      </w:pPr>
      <w:r>
        <w:t xml:space="preserve">Nguyen Van Minh</w:t>
      </w:r>
      <w:r>
        <w:br/>
      </w:r>
      <w:r>
        <w:t xml:space="preserve">Senior Telecommunication Engineer</w:t>
      </w:r>
      <w:r>
        <w:br/>
      </w:r>
      <w:r>
        <w:t xml:space="preserve">Date: _______________</w:t>
      </w:r>
    </w:p>
    <w:p>
      <w:pPr>
        <w:pStyle w:val="BodyText"/>
      </w:pPr>
      <w:r>
        <w:rPr>
          <w:bCs/>
          <w:b/>
        </w:rPr>
        <w:t xml:space="preserve">For and on behalf of:</w:t>
      </w:r>
      <w:r>
        <w:br/>
      </w:r>
      <w:r>
        <w:t xml:space="preserve">Phuoc An Industrial Park Management JSC</w:t>
      </w:r>
    </w:p>
    <w:p>
      <w:pPr>
        <w:pStyle w:val="BodyText"/>
      </w:pPr>
      <w:r>
        <w:t xml:space="preserve">Tran Quoc Bao</w:t>
      </w:r>
      <w:r>
        <w:br/>
      </w:r>
      <w:r>
        <w:t xml:space="preserve">Director of Infrastructure</w:t>
      </w:r>
      <w:r>
        <w:br/>
      </w:r>
      <w:r>
        <w:t xml:space="preserve">Date: _______________</w:t>
      </w:r>
    </w:p>
    <w:p>
      <w:pPr>
        <w:pStyle w:val="BodyText"/>
      </w:pPr>
      <w:r>
        <w:t xml:space="preserve">This Quotation Estimate document was prepared exclusively for the project referenced above in Vietnam Ho Chi Minh City. Unauthorized reproduction or distribution is prohibited. Document Ref: QTE-VNM-HCM-2025-0472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Vietnam Ho Chi Minh City</dc:title>
  <dc:creator/>
  <dc:language>en</dc:language>
  <cp:keywords/>
  <dcterms:created xsi:type="dcterms:W3CDTF">2026-10-10T02:02:02Z</dcterms:created>
  <dcterms:modified xsi:type="dcterms:W3CDTF">2026-10-10T02:02:02Z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