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rPr>
          <w:bCs/>
          <w:b/>
        </w:rPr>
        <w:t xml:space="preserve">LinguaBridge Professional Language Services S.A.S.</w:t>
      </w:r>
    </w:p>
    <w:p>
      <w:pPr>
        <w:pStyle w:val="BodyText"/>
      </w:pPr>
      <w:r>
        <w:t xml:space="preserve">Carrera 43A # 6 Sur - 120, El Poblado, Colombia Medellín</w:t>
      </w:r>
    </w:p>
    <w:p>
      <w:pPr>
        <w:pStyle w:val="BodyText"/>
      </w:pPr>
      <w:r>
        <w:t xml:space="preserve">NIT: 900.456.789-1 | RUT: 9004567891</w:t>
      </w:r>
    </w:p>
    <w:p>
      <w:pPr>
        <w:pStyle w:val="BodyText"/>
      </w:pPr>
      <w:r>
        <w:t xml:space="preserve">Phone: +57 (604) 444 5566 | Email: quotes@linguabridge.co</w:t>
      </w:r>
    </w:p>
    <w:bookmarkEnd w:id="20"/>
    <w:p>
      <w:pPr>
        <w:pStyle w:val="BodyText"/>
      </w:pPr>
      <w:r>
        <w:rPr>
          <w:bCs/>
          <w:b/>
        </w:rPr>
        <w:t xml:space="preserve">Quotation No.:</w:t>
      </w:r>
      <w:r>
        <w:t xml:space="preserve"> </w:t>
      </w:r>
      <w:r>
        <w:t xml:space="preserve">QTE-2025-0847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COP / USD</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Andes International Trade Group S.A.S.</w:t>
            </w:r>
          </w:p>
        </w:tc>
      </w:tr>
      <w:tr>
        <w:tc>
          <w:tcPr/>
          <w:p>
            <w:pPr>
              <w:pStyle w:val="Compact"/>
              <w:jc w:val="left"/>
            </w:pPr>
            <w:r>
              <w:t xml:space="preserve">Contact Person</w:t>
            </w:r>
          </w:p>
        </w:tc>
        <w:tc>
          <w:tcPr/>
          <w:p>
            <w:pPr>
              <w:pStyle w:val="Compact"/>
              <w:jc w:val="left"/>
            </w:pPr>
            <w:r>
              <w:t xml:space="preserve">Ing. María Fernanda Restrepo</w:t>
            </w:r>
          </w:p>
        </w:tc>
      </w:tr>
      <w:tr>
        <w:tc>
          <w:tcPr/>
          <w:p>
            <w:pPr>
              <w:pStyle w:val="Compact"/>
              <w:jc w:val="left"/>
            </w:pPr>
            <w:r>
              <w:t xml:space="preserve">Address</w:t>
            </w:r>
          </w:p>
        </w:tc>
        <w:tc>
          <w:tcPr/>
          <w:p>
            <w:pPr>
              <w:pStyle w:val="Compact"/>
              <w:jc w:val="left"/>
            </w:pPr>
            <w:r>
              <w:t xml:space="preserve">Av. La Playa # 45-20, Envigado, Colombia Medellín Metropolitan Area</w:t>
            </w:r>
          </w:p>
        </w:tc>
      </w:tr>
      <w:tr>
        <w:tc>
          <w:tcPr/>
          <w:p>
            <w:pPr>
              <w:pStyle w:val="Compact"/>
              <w:jc w:val="left"/>
            </w:pPr>
            <w:r>
              <w:t xml:space="preserve">Project Location</w:t>
            </w:r>
          </w:p>
        </w:tc>
        <w:tc>
          <w:tcPr/>
          <w:p>
            <w:pPr>
              <w:pStyle w:val="Compact"/>
              <w:jc w:val="left"/>
            </w:pPr>
            <w:r>
              <w:t xml:space="preserve">Colombia Medellín – Convention Center, Plaza Mayor</w:t>
            </w:r>
          </w:p>
        </w:tc>
      </w:tr>
      <w:tr>
        <w:tc>
          <w:tcPr/>
          <w:p>
            <w:pPr>
              <w:pStyle w:val="Compact"/>
              <w:jc w:val="left"/>
            </w:pPr>
            <w:r>
              <w:t xml:space="preserve">Event Dates</w:t>
            </w:r>
          </w:p>
        </w:tc>
        <w:tc>
          <w:tcPr/>
          <w:p>
            <w:pPr>
              <w:pStyle w:val="Compact"/>
              <w:jc w:val="left"/>
            </w:pPr>
            <w:r>
              <w:t xml:space="preserve">August 18 – August 22, 2025</w:t>
            </w:r>
          </w:p>
        </w:tc>
      </w:tr>
    </w:tbl>
    <w:bookmarkEnd w:id="21"/>
    <w:bookmarkStart w:id="22" w:name="Xa5b95b202c29189d89eb1110845a9061f25e4eb"/>
    <w:p>
      <w:pPr>
        <w:pStyle w:val="Heading2"/>
      </w:pPr>
      <w:r>
        <w:t xml:space="preserve">2. Scope of Services – Translator Interpreter Assignment</w:t>
      </w:r>
    </w:p>
    <w:p>
      <w:pPr>
        <w:pStyle w:val="FirstParagraph"/>
      </w:pPr>
      <w:r>
        <w:t xml:space="preserve">This</w:t>
      </w:r>
      <w:r>
        <w:t xml:space="preserve"> </w:t>
      </w:r>
      <w:r>
        <w:t xml:space="preserve">Quotation Estimate</w:t>
      </w:r>
      <w:r>
        <w:t xml:space="preserve"> </w:t>
      </w:r>
      <w:r>
        <w:t xml:space="preserve">is prepared in response to the formal request submitted by Andes International Trade Group S.A.S. for professional</w:t>
      </w:r>
      <w:r>
        <w:t xml:space="preserve"> </w:t>
      </w:r>
      <w:r>
        <w:t xml:space="preserve">Translator Interpreter</w:t>
      </w:r>
      <w:r>
        <w:t xml:space="preserve"> </w:t>
      </w:r>
      <w:r>
        <w:t xml:space="preserve">services to be rendered in</w:t>
      </w:r>
      <w:r>
        <w:t xml:space="preserve"> </w:t>
      </w:r>
      <w:r>
        <w:t xml:space="preserve">Colombia Medellín</w:t>
      </w:r>
      <w:r>
        <w:t xml:space="preserve"> </w:t>
      </w:r>
      <w:r>
        <w:t xml:space="preserve">during the Andean Commerce &amp; Innovation Summit 2025. Our firm, LinguaBridge Professional Language Services, specializes in delivering certified</w:t>
      </w:r>
      <w:r>
        <w:t xml:space="preserve"> </w:t>
      </w:r>
      <w:r>
        <w:t xml:space="preserve">Translator Interpreter</w:t>
      </w:r>
      <w:r>
        <w:t xml:space="preserve"> </w:t>
      </w:r>
      <w:r>
        <w:t xml:space="preserve">support for multilingual corporate events, trade negotiations, legal proceedings, and technical conferences throughout the</w:t>
      </w:r>
      <w:r>
        <w:t xml:space="preserve"> </w:t>
      </w:r>
      <w:r>
        <w:t xml:space="preserve">Colombia Medellín</w:t>
      </w:r>
      <w:r>
        <w:t xml:space="preserve"> </w:t>
      </w:r>
      <w:r>
        <w:t xml:space="preserve">metropolitan region and the broader Antioquia department.</w:t>
      </w:r>
    </w:p>
    <w:p>
      <w:pPr>
        <w:pStyle w:val="BodyText"/>
      </w:pPr>
      <w:r>
        <w:t xml:space="preserve">The</w:t>
      </w:r>
      <w:r>
        <w:t xml:space="preserve"> </w:t>
      </w:r>
      <w:r>
        <w:t xml:space="preserve">Translator Interpreter</w:t>
      </w:r>
      <w:r>
        <w:t xml:space="preserve"> </w:t>
      </w:r>
      <w:r>
        <w:t xml:space="preserve">team assigned to this engagement will provide real-time consecutive and simultaneous interpretation, as well as document translation services, covering the following language pairs: English–Spanish, Spanish–English, Portuguese–Spanish, and Spanish–German. All</w:t>
      </w:r>
      <w:r>
        <w:t xml:space="preserve"> </w:t>
      </w:r>
      <w:r>
        <w:t xml:space="preserve">Translator Interpreter</w:t>
      </w:r>
      <w:r>
        <w:t xml:space="preserve"> </w:t>
      </w:r>
      <w:r>
        <w:t xml:space="preserve">professionals listed in this</w:t>
      </w:r>
      <w:r>
        <w:t xml:space="preserve"> </w:t>
      </w:r>
      <w:r>
        <w:t xml:space="preserve">Quotation Estimate</w:t>
      </w:r>
      <w:r>
        <w:t xml:space="preserve"> </w:t>
      </w:r>
      <w:r>
        <w:t xml:space="preserve">hold certifications from the Colombian Chamber of Commerce (Cámara de Comercio de Medellín) and are registered with the Ministry of Foreign Affairs of Colombia for official and sworn translation purposes.</w:t>
      </w:r>
    </w:p>
    <w:bookmarkEnd w:id="22"/>
    <w:bookmarkStart w:id="23" w:name="itemized-services-and-rates"/>
    <w:p>
      <w:pPr>
        <w:pStyle w:val="Heading2"/>
      </w:pPr>
      <w:r>
        <w:t xml:space="preserve">3. Itemized Services and Rates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Simultaneous</w:t>
            </w:r>
            <w:r>
              <w:t xml:space="preserve"> </w:t>
            </w:r>
            <w:r>
              <w:t xml:space="preserve">Translator Interpreter</w:t>
            </w:r>
            <w:r>
              <w:t xml:space="preserve"> </w:t>
            </w:r>
            <w:r>
              <w:t xml:space="preserve">(English–Spanish) – 2 interpreters per booth, 8 hours/day, 5 days</w:t>
            </w:r>
          </w:p>
        </w:tc>
        <w:tc>
          <w:tcPr/>
          <w:p>
            <w:pPr>
              <w:pStyle w:val="Compact"/>
              <w:jc w:val="left"/>
            </w:pPr>
            <w:r>
              <w:t xml:space="preserve">10 shifts</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Consecutive</w:t>
            </w:r>
            <w:r>
              <w:t xml:space="preserve"> </w:t>
            </w:r>
            <w:r>
              <w:t xml:space="preserve">Translator Interpreter</w:t>
            </w:r>
            <w:r>
              <w:t xml:space="preserve"> </w:t>
            </w:r>
            <w:r>
              <w:t xml:space="preserve">(Spanish–German) – 1 interpreter, 6 hours/day, 3 days</w:t>
            </w:r>
          </w:p>
        </w:tc>
        <w:tc>
          <w:tcPr/>
          <w:p>
            <w:pPr>
              <w:pStyle w:val="Compact"/>
              <w:jc w:val="left"/>
            </w:pPr>
            <w:r>
              <w:t xml:space="preserve">3 days</w:t>
            </w:r>
          </w:p>
        </w:tc>
        <w:tc>
          <w:tcPr/>
          <w:p>
            <w:pPr>
              <w:pStyle w:val="Compact"/>
              <w:jc w:val="left"/>
            </w:pPr>
            <w:r>
              <w:t xml:space="preserve">980,000</w:t>
            </w:r>
          </w:p>
        </w:tc>
        <w:tc>
          <w:tcPr/>
          <w:p>
            <w:pPr>
              <w:pStyle w:val="Compact"/>
              <w:jc w:val="left"/>
            </w:pPr>
            <w:r>
              <w:t xml:space="preserve">2,940,000</w:t>
            </w:r>
          </w:p>
        </w:tc>
      </w:tr>
      <w:tr>
        <w:tc>
          <w:tcPr/>
          <w:p>
            <w:pPr>
              <w:pStyle w:val="Compact"/>
              <w:jc w:val="left"/>
            </w:pPr>
            <w:r>
              <w:t xml:space="preserve">3</w:t>
            </w:r>
          </w:p>
        </w:tc>
        <w:tc>
          <w:tcPr/>
          <w:p>
            <w:pPr>
              <w:pStyle w:val="Compact"/>
              <w:jc w:val="left"/>
            </w:pPr>
            <w:r>
              <w:t xml:space="preserve">Consecutive</w:t>
            </w:r>
            <w:r>
              <w:t xml:space="preserve"> </w:t>
            </w:r>
            <w:r>
              <w:t xml:space="preserve">Translator Interpreter</w:t>
            </w:r>
            <w:r>
              <w:t xml:space="preserve"> </w:t>
            </w:r>
            <w:r>
              <w:t xml:space="preserve">(Portuguese–Spanish) – 1 interpreter, 4 hours/day, 2 days</w:t>
            </w:r>
          </w:p>
        </w:tc>
        <w:tc>
          <w:tcPr/>
          <w:p>
            <w:pPr>
              <w:pStyle w:val="Compact"/>
              <w:jc w:val="left"/>
            </w:pPr>
            <w:r>
              <w:t xml:space="preserve">2 days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4</w:t>
            </w:r>
          </w:p>
        </w:tc>
        <w:tc>
          <w:tcPr/>
          <w:p>
            <w:pPr>
              <w:pStyle w:val="Compact"/>
              <w:jc w:val="left"/>
            </w:pPr>
            <w:r>
              <w:t xml:space="preserve">Sworn Document Translation (English to Spanish) – 120 pages, certified for legal use in</w:t>
            </w:r>
            <w:r>
              <w:t xml:space="preserve"> </w:t>
            </w:r>
            <w:r>
              <w:t xml:space="preserve">Colombia Medellín</w:t>
            </w:r>
          </w:p>
        </w:tc>
        <w:tc>
          <w:tcPr/>
          <w:p>
            <w:pPr>
              <w:pStyle w:val="Compact"/>
              <w:jc w:val="left"/>
            </w:pPr>
            <w:r>
              <w:t xml:space="preserve">120 pages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On-site</w:t>
            </w:r>
            <w:r>
              <w:t xml:space="preserve"> </w:t>
            </w:r>
            <w:r>
              <w:t xml:space="preserve">Translator Interpreter</w:t>
            </w:r>
            <w:r>
              <w:t xml:space="preserve"> </w:t>
            </w:r>
            <w:r>
              <w:t xml:space="preserve">coordination and project management in</w:t>
            </w:r>
            <w:r>
              <w:t xml:space="preserve"> </w:t>
            </w:r>
            <w:r>
              <w:t xml:space="preserve">Colombia Medellín</w:t>
            </w:r>
          </w:p>
        </w:tc>
        <w:tc>
          <w:tcPr/>
          <w:p>
            <w:pPr>
              <w:pStyle w:val="Compact"/>
              <w:jc w:val="left"/>
            </w:pPr>
            <w:r>
              <w:t xml:space="preserve">5 days</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6</w:t>
            </w:r>
          </w:p>
        </w:tc>
        <w:tc>
          <w:tcPr/>
          <w:p>
            <w:pPr>
              <w:pStyle w:val="Compact"/>
              <w:jc w:val="left"/>
            </w:pPr>
            <w:r>
              <w:t xml:space="preserve">Technical equipment rental (simultaneous interpretation booths, headsets, digital consoles) –</w:t>
            </w:r>
            <w:r>
              <w:t xml:space="preserve"> </w:t>
            </w:r>
            <w:r>
              <w:t xml:space="preserve">Colombia Medellín</w:t>
            </w:r>
            <w:r>
              <w:t xml:space="preserve"> </w:t>
            </w:r>
            <w:r>
              <w:t xml:space="preserve">venue</w:t>
            </w:r>
          </w:p>
        </w:tc>
        <w:tc>
          <w:tcPr/>
          <w:p>
            <w:pPr>
              <w:pStyle w:val="Compact"/>
              <w:jc w:val="left"/>
            </w:pPr>
            <w:r>
              <w:t xml:space="preserve">1 set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7</w:t>
            </w:r>
          </w:p>
        </w:tc>
        <w:tc>
          <w:tcPr/>
          <w:p>
            <w:pPr>
              <w:pStyle w:val="Compact"/>
              <w:jc w:val="left"/>
            </w:pPr>
            <w:r>
              <w:t xml:space="preserve">Pre-event briefing and terminology preparation for</w:t>
            </w:r>
            <w:r>
              <w:t xml:space="preserve"> </w:t>
            </w:r>
            <w:r>
              <w:t xml:space="preserve">Translator Interpreter</w:t>
            </w:r>
            <w:r>
              <w:t xml:space="preserve"> </w:t>
            </w:r>
            <w:r>
              <w:t xml:space="preserve">team</w:t>
            </w:r>
          </w:p>
        </w:tc>
        <w:tc>
          <w:tcPr/>
          <w:p>
            <w:pPr>
              <w:pStyle w:val="Compact"/>
              <w:jc w:val="left"/>
            </w:pPr>
            <w:r>
              <w:t xml:space="preserve">1 session</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left"/>
            </w:pPr>
            <w:r>
              <w:t xml:space="preserve">SUBTOTAL</w:t>
            </w:r>
          </w:p>
        </w:tc>
        <w:tc>
          <w:tcPr/>
          <w:p>
            <w:pPr>
              <w:pStyle w:val="Compact"/>
              <w:jc w:val="left"/>
            </w:pPr>
            <w:r>
              <w:t xml:space="preserve">27,390,000</w:t>
            </w:r>
          </w:p>
        </w:tc>
      </w:tr>
      <w:tr>
        <w:tc>
          <w:tcPr>
            <w:gridSpan w:val="4"/>
          </w:tcPr>
          <w:p>
            <w:pPr>
              <w:pStyle w:val="Compact"/>
              <w:jc w:val="left"/>
            </w:pPr>
            <w:r>
              <w:t xml:space="preserve">VAT (19%)</w:t>
            </w:r>
          </w:p>
        </w:tc>
        <w:tc>
          <w:tcPr/>
          <w:p>
            <w:pPr>
              <w:pStyle w:val="Compact"/>
              <w:jc w:val="left"/>
            </w:pPr>
            <w:r>
              <w:t xml:space="preserve">5,204,100</w:t>
            </w:r>
          </w:p>
        </w:tc>
      </w:tr>
      <w:tr>
        <w:tc>
          <w:tcPr>
            <w:gridSpan w:val="4"/>
          </w:tcPr>
          <w:p>
            <w:pPr>
              <w:pStyle w:val="Compact"/>
              <w:jc w:val="left"/>
            </w:pPr>
            <w:r>
              <w:t xml:space="preserve">TOTAL QUOTATION ESTIMATE (COP)</w:t>
            </w:r>
          </w:p>
        </w:tc>
        <w:tc>
          <w:tcPr/>
          <w:p>
            <w:pPr>
              <w:pStyle w:val="Compact"/>
              <w:jc w:val="left"/>
            </w:pPr>
            <w:r>
              <w:t xml:space="preserve">32,594,100</w:t>
            </w:r>
          </w:p>
        </w:tc>
      </w:tr>
      <w:tr>
        <w:tc>
          <w:tcPr>
            <w:gridSpan w:val="4"/>
          </w:tcPr>
          <w:p>
            <w:pPr>
              <w:pStyle w:val="Compact"/>
              <w:jc w:val="left"/>
            </w:pPr>
            <w:r>
              <w:t xml:space="preserve">TOTAL QUOTATION ESTIMATE (USD approx.)</w:t>
            </w:r>
          </w:p>
        </w:tc>
        <w:tc>
          <w:tcPr/>
          <w:p>
            <w:pPr>
              <w:pStyle w:val="Compact"/>
              <w:jc w:val="left"/>
            </w:pPr>
            <w:r>
              <w:t xml:space="preserve">$8,148.53</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rates and availability of the</w:t>
      </w:r>
      <w:r>
        <w:t xml:space="preserve"> </w:t>
      </w:r>
      <w:r>
        <w:t xml:space="preserve">Translator Interpreter</w:t>
      </w:r>
      <w:r>
        <w:t xml:space="preserve"> </w:t>
      </w:r>
      <w:r>
        <w:t xml:space="preserve">team may be subject to revision.</w:t>
      </w:r>
    </w:p>
    <w:p>
      <w:pPr>
        <w:numPr>
          <w:ilvl w:val="0"/>
          <w:numId w:val="1001"/>
        </w:numPr>
        <w:pStyle w:val="Compact"/>
      </w:pPr>
      <w:r>
        <w:t xml:space="preserve">All</w:t>
      </w:r>
      <w:r>
        <w:t xml:space="preserve"> </w:t>
      </w:r>
      <w:r>
        <w:t xml:space="preserve">Translator Interpreter</w:t>
      </w:r>
      <w:r>
        <w:t xml:space="preserve"> </w:t>
      </w:r>
      <w:r>
        <w:t xml:space="preserve">professionals assigned to this project in</w:t>
      </w:r>
      <w:r>
        <w:t xml:space="preserve"> </w:t>
      </w:r>
      <w:r>
        <w:t xml:space="preserve">Colombia Medellín</w:t>
      </w:r>
      <w:r>
        <w:t xml:space="preserve"> </w:t>
      </w:r>
      <w:r>
        <w:t xml:space="preserve">are bound by a strict Non-Disclosure Agreement (NDA) covering all commercial, technical, and personal information encountered during the engagement.</w:t>
      </w:r>
    </w:p>
    <w:p>
      <w:pPr>
        <w:numPr>
          <w:ilvl w:val="0"/>
          <w:numId w:val="1001"/>
        </w:numPr>
        <w:pStyle w:val="Compact"/>
      </w:pPr>
      <w:r>
        <w:t xml:space="preserve">Payment terms: 50% advance deposit upon acceptance of this</w:t>
      </w:r>
      <w:r>
        <w:t xml:space="preserve"> </w:t>
      </w:r>
      <w:r>
        <w:t xml:space="preserve">Quotation Estimate</w:t>
      </w:r>
      <w:r>
        <w:t xml:space="preserve">; the remaining 50% is due within ten (10) business days following the completion of all services in</w:t>
      </w:r>
      <w:r>
        <w:t xml:space="preserve"> </w:t>
      </w:r>
      <w:r>
        <w:t xml:space="preserve">Colombia Medellín</w:t>
      </w:r>
      <w:r>
        <w:t xml:space="preserve">.</w:t>
      </w:r>
    </w:p>
    <w:p>
      <w:pPr>
        <w:numPr>
          <w:ilvl w:val="0"/>
          <w:numId w:val="1001"/>
        </w:numPr>
        <w:pStyle w:val="Compact"/>
      </w:pPr>
      <w:r>
        <w:t xml:space="preserve">Any additional hours, language pairs, or document pages beyond the scope defined herein will be billed at the unit rates specified in Section 3, subject to prior written approval by the client.</w:t>
      </w:r>
    </w:p>
    <w:p>
      <w:pPr>
        <w:numPr>
          <w:ilvl w:val="0"/>
          <w:numId w:val="1001"/>
        </w:numPr>
        <w:pStyle w:val="Compact"/>
      </w:pPr>
      <w:r>
        <w:t xml:space="preserve">The</w:t>
      </w:r>
      <w:r>
        <w:t xml:space="preserve"> </w:t>
      </w:r>
      <w:r>
        <w:t xml:space="preserve">Translator Interpreter</w:t>
      </w:r>
      <w:r>
        <w:t xml:space="preserve"> </w:t>
      </w:r>
      <w:r>
        <w:t xml:space="preserve">team will arrive at the</w:t>
      </w:r>
      <w:r>
        <w:t xml:space="preserve"> </w:t>
      </w:r>
      <w:r>
        <w:t xml:space="preserve">Colombia Medellín</w:t>
      </w:r>
      <w:r>
        <w:t xml:space="preserve"> </w:t>
      </w:r>
      <w:r>
        <w:t xml:space="preserve">venue no later than 90 minutes before the scheduled start of each session to conduct equipment checks and final preparation.</w:t>
      </w:r>
    </w:p>
    <w:p>
      <w:pPr>
        <w:numPr>
          <w:ilvl w:val="0"/>
          <w:numId w:val="1001"/>
        </w:numPr>
        <w:pStyle w:val="Compact"/>
      </w:pPr>
      <w:r>
        <w:t xml:space="preserve">Sworn translations are certified by a</w:t>
      </w:r>
      <w:r>
        <w:t xml:space="preserve"> </w:t>
      </w:r>
      <w:r>
        <w:t xml:space="preserve">Translator Interpreter</w:t>
      </w:r>
      <w:r>
        <w:t xml:space="preserve"> </w:t>
      </w:r>
      <w:r>
        <w:t xml:space="preserve">registered with the Colombian Ministry of Foreign Affairs and carry the official seal and registration number required for legal validity within the Republic of Colombia.</w:t>
      </w:r>
    </w:p>
    <w:p>
      <w:pPr>
        <w:numPr>
          <w:ilvl w:val="0"/>
          <w:numId w:val="1001"/>
        </w:numPr>
        <w:pStyle w:val="Compact"/>
      </w:pPr>
      <w:r>
        <w:t xml:space="preserve">Force majeure events, including but not limited to natural disasters, government-mandated closures, or public health emergencies affecting</w:t>
      </w:r>
      <w:r>
        <w:t xml:space="preserve"> </w:t>
      </w:r>
      <w:r>
        <w:t xml:space="preserve">Colombia Medellín</w:t>
      </w:r>
      <w:r>
        <w:t xml:space="preserve">, will be handled through mutual agreement and may result in rescheduling without penalty to either party.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in writing.</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Translator Interpreter</w:t>
      </w:r>
      <w:r>
        <w:t xml:space="preserve"> </w:t>
      </w:r>
      <w:r>
        <w:t xml:space="preserve">services to be performed in</w:t>
      </w:r>
      <w:r>
        <w:t xml:space="preserve"> </w:t>
      </w:r>
      <w:r>
        <w:t xml:space="preserve">Colombia Medellín</w:t>
      </w:r>
      <w:r>
        <w:t xml:space="preserve">.</w:t>
      </w:r>
    </w:p>
    <w:p>
      <w:pPr>
        <w:pStyle w:val="BodyText"/>
      </w:pPr>
      <w:r>
        <w:rPr>
          <w:bCs/>
          <w:b/>
        </w:rPr>
        <w:t xml:space="preserve">For LinguaBridge Professional Language Services S.A.S.</w:t>
      </w:r>
      <w:r>
        <w:br/>
      </w:r>
      <w:r>
        <w:t xml:space="preserve">Name: Carlos Alberto Ospina</w:t>
      </w:r>
      <w:r>
        <w:br/>
      </w:r>
      <w:r>
        <w:t xml:space="preserve">Title: General Manager</w:t>
      </w:r>
      <w:r>
        <w:br/>
      </w:r>
      <w:r>
        <w:t xml:space="preserve">Date: _______________</w:t>
      </w:r>
    </w:p>
    <w:p>
      <w:pPr>
        <w:pStyle w:val="BodyText"/>
      </w:pPr>
      <w:r>
        <w:rPr>
          <w:bCs/>
          <w:b/>
        </w:rPr>
        <w:t xml:space="preserve">For Andes International Trade Group S.A.S.</w:t>
      </w:r>
      <w:r>
        <w:br/>
      </w:r>
      <w:r>
        <w:t xml:space="preserve">Name: Ing. María Fernanda Restrepo</w:t>
      </w:r>
      <w:r>
        <w:br/>
      </w:r>
      <w:r>
        <w:t xml:space="preserve">Title: Procurement Director</w:t>
      </w:r>
      <w:r>
        <w:br/>
      </w:r>
      <w:r>
        <w:t xml:space="preserve">Date: 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(Ref. QTE-2025-0847) is a confidential commercial document prepared exclusively for the client named herein. It may not be reproduced, distributed, or used for any purpose other than the evaluation of</w:t>
      </w:r>
      <w:r>
        <w:t xml:space="preserve"> </w:t>
      </w:r>
      <w:r>
        <w:t xml:space="preserve">Translator Interpreter</w:t>
      </w:r>
      <w:r>
        <w:t xml:space="preserve"> </w:t>
      </w:r>
      <w:r>
        <w:t xml:space="preserve">services in</w:t>
      </w:r>
      <w:r>
        <w:t xml:space="preserve"> </w:t>
      </w:r>
      <w:r>
        <w:t xml:space="preserve">Colombia Medellín</w:t>
      </w:r>
      <w:r>
        <w:t xml:space="preserve"> </w:t>
      </w:r>
      <w:r>
        <w:t xml:space="preserve">without prior written consent from LinguaBridge Professional Language Services S.A.S. All rates are quoted in Colombian Pesos (COP) unless otherwise indicated. Exchange rate reference: 1 USD = 4,000 COP (Bank of Colombia,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Colombia Medellín</dc:title>
  <dc:creator/>
  <dc:language>en</dc:language>
  <cp:keywords/>
  <dcterms:created xsi:type="dcterms:W3CDTF">2026-10-10T07:32:47Z</dcterms:created>
  <dcterms:modified xsi:type="dcterms:W3CDTF">2026-10-10T07:32:47Z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