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Germany Frankfurt | Main Office: Goethestraße 42, 60311 Frankfurt am Main, Germany</w:t>
      </w:r>
    </w:p>
    <w:bookmarkEnd w:id="20"/>
    <w:p>
      <w:pPr>
        <w:pStyle w:val="BodyText"/>
      </w:pPr>
      <w:r>
        <w:rPr>
          <w:bCs/>
          <w:b/>
        </w:rPr>
        <w:t xml:space="preserve">Quotation No.:</w:t>
      </w:r>
      <w:r>
        <w:t xml:space="preserve"> </w:t>
      </w:r>
      <w:r>
        <w:t xml:space="preserve">QTE-2025-FRA-0847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[Client Name / Company]</w:t>
      </w:r>
      <w:r>
        <w:br/>
      </w:r>
      <w:r>
        <w:rPr>
          <w:bCs/>
          <w:b/>
        </w:rPr>
        <w:t xml:space="preserve">Contact:</w:t>
      </w:r>
      <w:r>
        <w:t xml:space="preserve"> </w:t>
      </w:r>
      <w:r>
        <w:t xml:space="preserve">[Client Email / Phone]</w:t>
      </w:r>
      <w:r>
        <w:br/>
      </w:r>
      <w:r>
        <w:rPr>
          <w:bCs/>
          <w:b/>
        </w:rPr>
        <w:t xml:space="preserve">Reference:</w:t>
      </w:r>
      <w:r>
        <w:t xml:space="preserve"> </w:t>
      </w:r>
      <w:r>
        <w:t xml:space="preserve">Project FRA-2025-003</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response to your request for professional</w:t>
      </w:r>
      <w:r>
        <w:t xml:space="preserve"> </w:t>
      </w:r>
      <w:r>
        <w:t xml:space="preserve">Translator Interpreter</w:t>
      </w:r>
      <w:r>
        <w:t xml:space="preserve"> </w:t>
      </w:r>
      <w:r>
        <w:t xml:space="preserve">services to be delivered in</w:t>
      </w:r>
      <w:r>
        <w:t xml:space="preserve"> </w:t>
      </w:r>
      <w:r>
        <w:t xml:space="preserve">Germany Frankfurt</w:t>
      </w:r>
      <w:r>
        <w:t xml:space="preserve">. We are pleased to present this detailed proposal outlining the scope of work, applicable rates, project timeline, and all associated terms and conditions. This document serves as a formal</w:t>
      </w:r>
      <w:r>
        <w:t xml:space="preserve"> </w:t>
      </w:r>
      <w:r>
        <w:t xml:space="preserve">Quotation Estimate</w:t>
      </w:r>
      <w:r>
        <w:t xml:space="preserve"> </w:t>
      </w:r>
      <w:r>
        <w:t xml:space="preserve">and does not constitute a binding contract until both parties have signed and returned the acceptance section at the end of this document.</w:t>
      </w:r>
    </w:p>
    <w:p>
      <w:pPr>
        <w:pStyle w:val="BodyText"/>
      </w:pPr>
      <w:r>
        <w:t xml:space="preserve">Our firm has been providing certified</w:t>
      </w:r>
      <w:r>
        <w:t xml:space="preserve"> </w:t>
      </w:r>
      <w:r>
        <w:t xml:space="preserve">Translator Interpreter</w:t>
      </w:r>
      <w:r>
        <w:t xml:space="preserve"> </w:t>
      </w:r>
      <w:r>
        <w:t xml:space="preserve">services across the Frankfurt metropolitan area for over fifteen years. We understand the unique linguistic and cultural demands of operating in</w:t>
      </w:r>
      <w:r>
        <w:t xml:space="preserve"> </w:t>
      </w:r>
      <w:r>
        <w:t xml:space="preserve">Germany Frankfurt</w:t>
      </w:r>
      <w:r>
        <w:t xml:space="preserve">, a major international financial hub where multilingual communication is essential for business negotiations, legal proceedings, medical consultations, and corporate events. This</w:t>
      </w:r>
      <w:r>
        <w:t xml:space="preserve"> </w:t>
      </w:r>
      <w:r>
        <w:t xml:space="preserve">Quotation Estimate</w:t>
      </w:r>
      <w:r>
        <w:t xml:space="preserve"> </w:t>
      </w:r>
      <w:r>
        <w:t xml:space="preserve">reflects our commitment to delivering the highest standard of linguistic accuracy and professional conduct.</w:t>
      </w:r>
    </w:p>
    <w:bookmarkEnd w:id="21"/>
    <w:bookmarkStart w:id="22" w:name="X38b3db186d0f87a895d5624aca7c60bc32dffdf"/>
    <w:p>
      <w:pPr>
        <w:pStyle w:val="Heading2"/>
      </w:pPr>
      <w:r>
        <w:t xml:space="preserve">2. Scope of Services – Translator Interpreter in Germany Frankfurt</w:t>
      </w:r>
    </w:p>
    <w:p>
      <w:pPr>
        <w:pStyle w:val="FirstParagraph"/>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encompass the following deliverables to be performed on-site in</w:t>
      </w:r>
      <w:r>
        <w:t xml:space="preserve"> </w:t>
      </w:r>
      <w:r>
        <w:t xml:space="preserve">Germany Frankfurt</w:t>
      </w:r>
      <w:r>
        <w:t xml:space="preserve"> </w:t>
      </w:r>
      <w:r>
        <w:t xml:space="preserve">and, where applicable, via secure remote channels:</w:t>
      </w:r>
    </w:p>
    <w:p>
      <w:pPr>
        <w:numPr>
          <w:ilvl w:val="0"/>
          <w:numId w:val="1001"/>
        </w:numPr>
        <w:pStyle w:val="Compact"/>
      </w:pPr>
      <w:r>
        <w:rPr>
          <w:bCs/>
          <w:b/>
        </w:rPr>
        <w:t xml:space="preserve">Consecutive Interpretation:</w:t>
      </w:r>
      <w:r>
        <w:t xml:space="preserve"> </w:t>
      </w:r>
      <w:r>
        <w:t xml:space="preserve">A certified</w:t>
      </w:r>
      <w:r>
        <w:t xml:space="preserve"> </w:t>
      </w:r>
      <w:r>
        <w:t xml:space="preserve">Translator Interpreter</w:t>
      </w:r>
      <w:r>
        <w:t xml:space="preserve"> </w:t>
      </w:r>
      <w:r>
        <w:t xml:space="preserve">will provide consecutive interpretation for scheduled business meetings, board presentations, and client consultations held at your premises in Frankfurt am Main or at our designated service center in the city center.</w:t>
      </w:r>
    </w:p>
    <w:p>
      <w:pPr>
        <w:numPr>
          <w:ilvl w:val="0"/>
          <w:numId w:val="1001"/>
        </w:numPr>
        <w:pStyle w:val="Compact"/>
      </w:pPr>
      <w:r>
        <w:rPr>
          <w:bCs/>
          <w:b/>
        </w:rPr>
        <w:t xml:space="preserve">Simultaneous Interpretation:</w:t>
      </w:r>
      <w:r>
        <w:t xml:space="preserve"> </w:t>
      </w:r>
      <w:r>
        <w:t xml:space="preserve">For conferences, seminars, or large-scale events in</w:t>
      </w:r>
      <w:r>
        <w:t xml:space="preserve"> </w:t>
      </w:r>
      <w:r>
        <w:t xml:space="preserve">Germany Frankfurt</w:t>
      </w:r>
      <w:r>
        <w:t xml:space="preserve"> </w:t>
      </w:r>
      <w:r>
        <w:t xml:space="preserve">exceeding forty attendees, our</w:t>
      </w:r>
      <w:r>
        <w:t xml:space="preserve"> </w:t>
      </w:r>
      <w:r>
        <w:t xml:space="preserve">Translator Interpreter</w:t>
      </w:r>
      <w:r>
        <w:t xml:space="preserve"> </w:t>
      </w:r>
      <w:r>
        <w:t xml:space="preserve">team will deploy simultaneous interpretation booths equipped with digital reception units.</w:t>
      </w:r>
    </w:p>
    <w:p>
      <w:pPr>
        <w:numPr>
          <w:ilvl w:val="0"/>
          <w:numId w:val="1001"/>
        </w:numPr>
        <w:pStyle w:val="Compact"/>
      </w:pPr>
      <w:r>
        <w:rPr>
          <w:bCs/>
          <w:b/>
        </w:rPr>
        <w:t xml:space="preserve">Document Translation:</w:t>
      </w:r>
      <w:r>
        <w:t xml:space="preserve"> </w:t>
      </w:r>
      <w:r>
        <w:t xml:space="preserve">Certified translation of legal, financial, technical, and commercial documents between English, German, and additional requested languages, with sworn certification accepted by all German federal and state authorities in the Frankfurt region.</w:t>
      </w:r>
    </w:p>
    <w:p>
      <w:pPr>
        <w:numPr>
          <w:ilvl w:val="0"/>
          <w:numId w:val="1001"/>
        </w:numPr>
        <w:pStyle w:val="Compact"/>
      </w:pPr>
      <w:r>
        <w:rPr>
          <w:bCs/>
          <w:b/>
        </w:rPr>
        <w:t xml:space="preserve">On-Site Liaison Support:</w:t>
      </w:r>
      <w:r>
        <w:t xml:space="preserve"> </w:t>
      </w:r>
      <w:r>
        <w:t xml:space="preserve">A dedicated</w:t>
      </w:r>
      <w:r>
        <w:t xml:space="preserve"> </w:t>
      </w:r>
      <w:r>
        <w:t xml:space="preserve">Translator Interpreter</w:t>
      </w:r>
      <w:r>
        <w:t xml:space="preserve"> </w:t>
      </w:r>
      <w:r>
        <w:t xml:space="preserve">will be available for ad-hoc communication support during site visits, factory tours, or regulatory inspections in</w:t>
      </w:r>
      <w:r>
        <w:t xml:space="preserve"> </w:t>
      </w:r>
      <w:r>
        <w:t xml:space="preserve">Germany Frankfurt</w:t>
      </w:r>
      <w:r>
        <w:t xml:space="preserve">.</w:t>
      </w:r>
    </w:p>
    <w:p>
      <w:pPr>
        <w:numPr>
          <w:ilvl w:val="0"/>
          <w:numId w:val="1001"/>
        </w:numPr>
        <w:pStyle w:val="Compact"/>
      </w:pPr>
      <w:r>
        <w:rPr>
          <w:bCs/>
          <w:b/>
        </w:rPr>
        <w:t xml:space="preserve">Remote Interpretation (Video/Phone):</w:t>
      </w:r>
      <w:r>
        <w:t xml:space="preserve"> </w:t>
      </w:r>
      <w:r>
        <w:t xml:space="preserve">Virtual</w:t>
      </w:r>
      <w:r>
        <w:t xml:space="preserve"> </w:t>
      </w:r>
      <w:r>
        <w:t xml:space="preserve">Translator Interpreter</w:t>
      </w:r>
      <w:r>
        <w:t xml:space="preserve"> </w:t>
      </w:r>
      <w:r>
        <w:t xml:space="preserve">sessions conducted via encrypted video conferencing platforms for clients who require support without physical presence in Frankfurt.</w:t>
      </w:r>
    </w:p>
    <w:bookmarkEnd w:id="22"/>
    <w:bookmarkStart w:id="23" w:name="quotation-estimate-itemized-pricing"/>
    <w:p>
      <w:pPr>
        <w:pStyle w:val="Heading2"/>
      </w:pPr>
      <w:r>
        <w:t xml:space="preserve">3. Quotation Estimate – Itemized Pricing</w:t>
      </w:r>
    </w:p>
    <w:p>
      <w:pPr>
        <w:pStyle w:val="FirstParagraph"/>
      </w:pPr>
      <w:r>
        <w:t xml:space="preserve">The following table constitutes the core financial component of this</w:t>
      </w:r>
      <w:r>
        <w:t xml:space="preserve"> </w:t>
      </w:r>
      <w:r>
        <w:t xml:space="preserve">Quotation Estimate</w:t>
      </w:r>
      <w:r>
        <w:t xml:space="preserve">. All prices are quoted in Euros (EUR) and include applicable German value-added tax (VAT) at the standard rate of 19%. Rates reflect the professional qualifications of our</w:t>
      </w:r>
      <w:r>
        <w:t xml:space="preserve"> </w:t>
      </w:r>
      <w:r>
        <w:t xml:space="preserve">Translator Interpreter</w:t>
      </w:r>
      <w:r>
        <w:t xml:space="preserve"> </w:t>
      </w:r>
      <w:r>
        <w:t xml:space="preserve">staff and the operational costs of delivering services in</w:t>
      </w:r>
      <w:r>
        <w:t xml:space="preserve"> </w:t>
      </w:r>
      <w:r>
        <w:t xml:space="preserve">Germany Frankfurt</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Volume</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Consecutive Interpretation – English/German (Certified Translator Interpreter)</w:t>
            </w:r>
          </w:p>
        </w:tc>
        <w:tc>
          <w:tcPr/>
          <w:p>
            <w:pPr>
              <w:pStyle w:val="Compact"/>
              <w:jc w:val="left"/>
            </w:pPr>
            <w:r>
              <w:t xml:space="preserve">8 hours (1 day)</w:t>
            </w:r>
          </w:p>
        </w:tc>
        <w:tc>
          <w:tcPr/>
          <w:p>
            <w:pPr>
              <w:pStyle w:val="Compact"/>
              <w:jc w:val="left"/>
            </w:pPr>
            <w:r>
              <w:t xml:space="preserve">€185.00 / hr</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Simultaneous Interpretation – English/German (2-person booth team)</w:t>
            </w:r>
          </w:p>
        </w:tc>
        <w:tc>
          <w:tcPr/>
          <w:p>
            <w:pPr>
              <w:pStyle w:val="Compact"/>
              <w:jc w:val="left"/>
            </w:pPr>
            <w:r>
              <w:t xml:space="preserve">6 hours (1 day)</w:t>
            </w:r>
          </w:p>
        </w:tc>
        <w:tc>
          <w:tcPr/>
          <w:p>
            <w:pPr>
              <w:pStyle w:val="Compact"/>
              <w:jc w:val="left"/>
            </w:pPr>
            <w:r>
              <w:t xml:space="preserve">€320.00 / hr (pair)</w:t>
            </w:r>
          </w:p>
        </w:tc>
        <w:tc>
          <w:tcPr/>
          <w:p>
            <w:pPr>
              <w:pStyle w:val="Compact"/>
              <w:jc w:val="left"/>
            </w:pPr>
            <w:r>
              <w:t xml:space="preserve">€1,920.00</w:t>
            </w:r>
          </w:p>
        </w:tc>
      </w:tr>
      <w:tr>
        <w:tc>
          <w:tcPr/>
          <w:p>
            <w:pPr>
              <w:pStyle w:val="Compact"/>
              <w:jc w:val="left"/>
            </w:pPr>
            <w:r>
              <w:t xml:space="preserve">03</w:t>
            </w:r>
          </w:p>
        </w:tc>
        <w:tc>
          <w:tcPr/>
          <w:p>
            <w:pPr>
              <w:pStyle w:val="Compact"/>
              <w:jc w:val="left"/>
            </w:pPr>
            <w:r>
              <w:t xml:space="preserve">Certified Document Translation – Legal Contracts</w:t>
            </w:r>
          </w:p>
        </w:tc>
        <w:tc>
          <w:tcPr/>
          <w:p>
            <w:pPr>
              <w:pStyle w:val="Compact"/>
              <w:jc w:val="left"/>
            </w:pPr>
            <w:r>
              <w:t xml:space="preserve">12,000 words</w:t>
            </w:r>
          </w:p>
        </w:tc>
        <w:tc>
          <w:tcPr/>
          <w:p>
            <w:pPr>
              <w:pStyle w:val="Compact"/>
              <w:jc w:val="left"/>
            </w:pPr>
            <w:r>
              <w:t xml:space="preserve">€0.14 / word</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On-Site Liaison Support – Translator Interpreter (Ad-hoc, Frankfurt)</w:t>
            </w:r>
          </w:p>
        </w:tc>
        <w:tc>
          <w:tcPr/>
          <w:p>
            <w:pPr>
              <w:pStyle w:val="Compact"/>
              <w:jc w:val="left"/>
            </w:pPr>
            <w:r>
              <w:t xml:space="preserve">4 hours</w:t>
            </w:r>
          </w:p>
        </w:tc>
        <w:tc>
          <w:tcPr/>
          <w:p>
            <w:pPr>
              <w:pStyle w:val="Compact"/>
              <w:jc w:val="left"/>
            </w:pPr>
            <w:r>
              <w:t xml:space="preserve">€165.00 / hr</w:t>
            </w:r>
          </w:p>
        </w:tc>
        <w:tc>
          <w:tcPr/>
          <w:p>
            <w:pPr>
              <w:pStyle w:val="Compact"/>
              <w:jc w:val="left"/>
            </w:pPr>
            <w:r>
              <w:t xml:space="preserve">€660.00</w:t>
            </w:r>
          </w:p>
        </w:tc>
      </w:tr>
      <w:tr>
        <w:tc>
          <w:tcPr/>
          <w:p>
            <w:pPr>
              <w:pStyle w:val="Compact"/>
              <w:jc w:val="left"/>
            </w:pPr>
            <w:r>
              <w:t xml:space="preserve">05</w:t>
            </w:r>
          </w:p>
        </w:tc>
        <w:tc>
          <w:tcPr/>
          <w:p>
            <w:pPr>
              <w:pStyle w:val="Compact"/>
              <w:jc w:val="left"/>
            </w:pPr>
            <w:r>
              <w:t xml:space="preserve">Remote Video Interpretation – English/German</w:t>
            </w:r>
          </w:p>
        </w:tc>
        <w:tc>
          <w:tcPr/>
          <w:p>
            <w:pPr>
              <w:pStyle w:val="Compact"/>
              <w:jc w:val="left"/>
            </w:pPr>
            <w:r>
              <w:t xml:space="preserve">3 hours</w:t>
            </w:r>
          </w:p>
        </w:tc>
        <w:tc>
          <w:tcPr/>
          <w:p>
            <w:pPr>
              <w:pStyle w:val="Compact"/>
              <w:jc w:val="left"/>
            </w:pPr>
            <w:r>
              <w:t xml:space="preserve">€145.00 / hr</w:t>
            </w:r>
          </w:p>
        </w:tc>
        <w:tc>
          <w:tcPr/>
          <w:p>
            <w:pPr>
              <w:pStyle w:val="Compact"/>
              <w:jc w:val="left"/>
            </w:pPr>
            <w:r>
              <w:t xml:space="preserve">€435.00</w:t>
            </w:r>
          </w:p>
        </w:tc>
      </w:tr>
      <w:tr>
        <w:tc>
          <w:tcPr/>
          <w:p>
            <w:pPr>
              <w:pStyle w:val="Compact"/>
              <w:jc w:val="left"/>
            </w:pPr>
            <w:r>
              <w:t xml:space="preserve">06</w:t>
            </w:r>
          </w:p>
        </w:tc>
        <w:tc>
          <w:tcPr/>
          <w:p>
            <w:pPr>
              <w:pStyle w:val="Compact"/>
              <w:jc w:val="left"/>
            </w:pPr>
            <w:r>
              <w:t xml:space="preserve">Travel and Local Transport within Germany Frankfurt</w:t>
            </w:r>
          </w:p>
        </w:tc>
        <w:tc>
          <w:tcPr/>
          <w:p>
            <w:pPr>
              <w:pStyle w:val="Compact"/>
              <w:jc w:val="left"/>
            </w:pPr>
            <w:r>
              <w:t xml:space="preserve">Flat rate</w:t>
            </w:r>
          </w:p>
        </w:tc>
        <w:tc>
          <w:tcPr/>
          <w:p>
            <w:pPr>
              <w:pStyle w:val="Compact"/>
              <w:jc w:val="left"/>
            </w:pPr>
            <w:r>
              <w:t xml:space="preserve">€1.20 / km</w:t>
            </w:r>
          </w:p>
        </w:tc>
        <w:tc>
          <w:tcPr/>
          <w:p>
            <w:pPr>
              <w:pStyle w:val="Compact"/>
              <w:jc w:val="left"/>
            </w:pPr>
            <w:r>
              <w:t xml:space="preserve">€120.00</w:t>
            </w:r>
          </w:p>
        </w:tc>
      </w:tr>
      <w:tr>
        <w:tc>
          <w:tcPr/>
          <w:p>
            <w:pPr>
              <w:pStyle w:val="Compact"/>
              <w:jc w:val="left"/>
            </w:pPr>
            <w:r>
              <w:t xml:space="preserve">07</w:t>
            </w:r>
          </w:p>
        </w:tc>
        <w:tc>
          <w:tcPr/>
          <w:p>
            <w:pPr>
              <w:pStyle w:val="Compact"/>
              <w:jc w:val="left"/>
            </w:pPr>
            <w:r>
              <w:t xml:space="preserve">Project Management and Coordination Fee</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€350.00</w:t>
            </w:r>
          </w:p>
        </w:tc>
      </w:tr>
      <w:tr>
        <w:tc>
          <w:tcPr>
            <w:gridSpan w:val="4"/>
          </w:tcPr>
          <w:p>
            <w:pPr>
              <w:pStyle w:val="Compact"/>
              <w:jc w:val="right"/>
            </w:pPr>
            <w:r>
              <w:t xml:space="preserve">Subtotal (excl. VAT):</w:t>
            </w:r>
          </w:p>
        </w:tc>
        <w:tc>
          <w:tcPr/>
          <w:p>
            <w:pPr>
              <w:pStyle w:val="Compact"/>
              <w:jc w:val="left"/>
            </w:pPr>
            <w:r>
              <w:t xml:space="preserve">€6,645.00</w:t>
            </w:r>
          </w:p>
        </w:tc>
      </w:tr>
      <w:tr>
        <w:tc>
          <w:tcPr>
            <w:gridSpan w:val="4"/>
          </w:tcPr>
          <w:p>
            <w:pPr>
              <w:pStyle w:val="Compact"/>
              <w:jc w:val="right"/>
            </w:pPr>
            <w:r>
              <w:t xml:space="preserve">VAT (19%):</w:t>
            </w:r>
          </w:p>
        </w:tc>
        <w:tc>
          <w:tcPr/>
          <w:p>
            <w:pPr>
              <w:pStyle w:val="Compact"/>
              <w:jc w:val="left"/>
            </w:pPr>
            <w:r>
              <w:t xml:space="preserve">€1,262.55</w:t>
            </w:r>
          </w:p>
        </w:tc>
      </w:tr>
      <w:tr>
        <w:tc>
          <w:tcPr>
            <w:gridSpan w:val="4"/>
          </w:tcPr>
          <w:p>
            <w:pPr>
              <w:pStyle w:val="Compact"/>
              <w:jc w:val="right"/>
            </w:pPr>
            <w:r>
              <w:t xml:space="preserve">Total Amount Due (incl. VAT):</w:t>
            </w:r>
          </w:p>
        </w:tc>
        <w:tc>
          <w:tcPr/>
          <w:p>
            <w:pPr>
              <w:pStyle w:val="Compact"/>
              <w:jc w:val="left"/>
            </w:pPr>
            <w:r>
              <w:t xml:space="preserve">€7,907.55</w:t>
            </w:r>
          </w:p>
        </w:tc>
      </w:tr>
    </w:tbl>
    <w:bookmarkEnd w:id="23"/>
    <w:bookmarkStart w:id="24" w:name="project-timeline-and-delivery-schedule"/>
    <w:p>
      <w:pPr>
        <w:pStyle w:val="Heading2"/>
      </w:pPr>
      <w:r>
        <w:t xml:space="preserve">4. Project Timeline and Delivery Schedule</w:t>
      </w:r>
    </w:p>
    <w:p>
      <w:pPr>
        <w:pStyle w:val="FirstParagraph"/>
      </w:pPr>
      <w:r>
        <w:t xml:space="preserve">Based on the scope defined in this</w:t>
      </w:r>
      <w:r>
        <w:t xml:space="preserve"> </w:t>
      </w:r>
      <w:r>
        <w:t xml:space="preserve">Quotation Estimate</w:t>
      </w:r>
      <w:r>
        <w:t xml:space="preserve">, the</w:t>
      </w:r>
      <w:r>
        <w:t xml:space="preserve"> </w:t>
      </w:r>
      <w:r>
        <w:t xml:space="preserve">Translator Interpreter</w:t>
      </w:r>
      <w:r>
        <w:t xml:space="preserve"> </w:t>
      </w:r>
      <w:r>
        <w:t xml:space="preserve">services in</w:t>
      </w:r>
      <w:r>
        <w:t xml:space="preserve"> </w:t>
      </w:r>
      <w:r>
        <w:t xml:space="preserve">Germany Frankfurt</w:t>
      </w:r>
      <w:r>
        <w:t xml:space="preserve"> </w:t>
      </w:r>
      <w:r>
        <w:t xml:space="preserve">will be delivered according to the following schedule:</w:t>
      </w:r>
    </w:p>
    <w:p>
      <w:pPr>
        <w:numPr>
          <w:ilvl w:val="0"/>
          <w:numId w:val="1002"/>
        </w:numPr>
        <w:pStyle w:val="Compact"/>
      </w:pPr>
      <w:r>
        <w:rPr>
          <w:bCs/>
          <w:b/>
        </w:rPr>
        <w:t xml:space="preserve">Week 1 (16–20 June 2025):</w:t>
      </w:r>
      <w:r>
        <w:t xml:space="preserve"> </w:t>
      </w:r>
      <w:r>
        <w:t xml:space="preserve">Confirmation of language pairs, subject-matter briefing, and assignment of the primary</w:t>
      </w:r>
      <w:r>
        <w:t xml:space="preserve"> </w:t>
      </w:r>
      <w:r>
        <w:t xml:space="preserve">Translator Interpreter</w:t>
      </w:r>
      <w:r>
        <w:t xml:space="preserve"> </w:t>
      </w:r>
      <w:r>
        <w:t xml:space="preserve">team.</w:t>
      </w:r>
    </w:p>
    <w:p>
      <w:pPr>
        <w:numPr>
          <w:ilvl w:val="0"/>
          <w:numId w:val="1002"/>
        </w:numPr>
        <w:pStyle w:val="Compact"/>
      </w:pPr>
      <w:r>
        <w:rPr>
          <w:bCs/>
          <w:b/>
        </w:rPr>
        <w:t xml:space="preserve">Week 2 (23–27 June 2025):</w:t>
      </w:r>
      <w:r>
        <w:t xml:space="preserve"> </w:t>
      </w:r>
      <w:r>
        <w:t xml:space="preserve">Delivery of certified document translations; on-site consecutive interpretation sessions at the Frankfurt client office.</w:t>
      </w:r>
    </w:p>
    <w:p>
      <w:pPr>
        <w:numPr>
          <w:ilvl w:val="0"/>
          <w:numId w:val="1002"/>
        </w:numPr>
        <w:pStyle w:val="Compact"/>
      </w:pPr>
      <w:r>
        <w:rPr>
          <w:bCs/>
          <w:b/>
        </w:rPr>
        <w:t xml:space="preserve">Week 3 (30 June – 4 July 2025):</w:t>
      </w:r>
      <w:r>
        <w:t xml:space="preserve"> </w:t>
      </w:r>
      <w:r>
        <w:t xml:space="preserve">Simultaneous interpretation for the annual stakeholder conference at the Frankfurt Congress Center; remote interpretation sessions as scheduled.</w:t>
      </w:r>
    </w:p>
    <w:p>
      <w:pPr>
        <w:numPr>
          <w:ilvl w:val="0"/>
          <w:numId w:val="1002"/>
        </w:numPr>
        <w:pStyle w:val="Compact"/>
      </w:pPr>
      <w:r>
        <w:rPr>
          <w:bCs/>
          <w:b/>
        </w:rPr>
        <w:t xml:space="preserve">Week 4 (7–11 July 2025):</w:t>
      </w:r>
      <w:r>
        <w:t xml:space="preserve"> </w:t>
      </w:r>
      <w:r>
        <w:t xml:space="preserve">Final liaison support, quality review of all translated documents, and submission of the completed project report.</w:t>
      </w:r>
    </w:p>
    <w:bookmarkEnd w:id="24"/>
    <w:bookmarkStart w:id="25" w:name="X985eb999f0cfcda5f1af1a675bf0b7c2e0a6c64"/>
    <w:p>
      <w:pPr>
        <w:pStyle w:val="Heading2"/>
      </w:pPr>
      <w:r>
        <w:t xml:space="preserve">5. Terms and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After the expiry date, rates may be subject to revision based on market conditions in</w:t>
      </w:r>
      <w:r>
        <w:t xml:space="preserve"> </w:t>
      </w:r>
      <w:r>
        <w:t xml:space="preserve">Germany Frankfurt</w:t>
      </w:r>
      <w:r>
        <w:t xml:space="preserve">.</w:t>
      </w:r>
    </w:p>
    <w:p>
      <w:pPr>
        <w:numPr>
          <w:ilvl w:val="0"/>
          <w:numId w:val="1003"/>
        </w:numPr>
        <w:pStyle w:val="Compact"/>
      </w:pPr>
      <w:r>
        <w:t xml:space="preserve">Payment terms: 50% advance payment upon acceptance of this</w:t>
      </w:r>
      <w:r>
        <w:t xml:space="preserve"> </w:t>
      </w:r>
      <w:r>
        <w:t xml:space="preserve">Quotation Estimate</w:t>
      </w:r>
      <w:r>
        <w:t xml:space="preserve">; the remaining 50% is due within fourteen (14) days of project completion. Payments shall be made via bank transfer to our account at Commerzbank, Frankfurt am Main.</w:t>
      </w:r>
    </w:p>
    <w:p>
      <w:pPr>
        <w:numPr>
          <w:ilvl w:val="0"/>
          <w:numId w:val="1003"/>
        </w:numPr>
        <w:pStyle w:val="Compact"/>
      </w:pPr>
      <w:r>
        <w:t xml:space="preserve">All</w:t>
      </w:r>
      <w:r>
        <w:t xml:space="preserve"> </w:t>
      </w:r>
      <w:r>
        <w:t xml:space="preserve">Translator Interpreter</w:t>
      </w:r>
      <w:r>
        <w:t xml:space="preserve"> </w:t>
      </w:r>
      <w:r>
        <w:t xml:space="preserve">personnel assigned to this project are fully insured, GDPR-compliant, and bound by strict confidentiality agreements (NDA) covering all client information processed in</w:t>
      </w:r>
      <w:r>
        <w:t xml:space="preserve"> </w:t>
      </w:r>
      <w:r>
        <w:t xml:space="preserve">Germany Frankfurt</w:t>
      </w:r>
      <w:r>
        <w:t xml:space="preserve">.</w:t>
      </w:r>
    </w:p>
    <w:p>
      <w:pPr>
        <w:numPr>
          <w:ilvl w:val="0"/>
          <w:numId w:val="1003"/>
        </w:numPr>
        <w:pStyle w:val="Compact"/>
      </w:pPr>
      <w:r>
        <w:t xml:space="preserve">Certified translations carry the official seal and signature of a sworn translator recognized by the Local Court (Amtsgericht) Frankfurt am Main and are legally valid throughout the Federal Republic of Germany.</w:t>
      </w:r>
    </w:p>
    <w:p>
      <w:pPr>
        <w:numPr>
          <w:ilvl w:val="0"/>
          <w:numId w:val="1003"/>
        </w:numPr>
        <w:pStyle w:val="Compact"/>
      </w:pPr>
      <w:r>
        <w:t xml:space="preserve">Any additional services, extended hours, or changes in scope beyond what is stated in this</w:t>
      </w:r>
      <w:r>
        <w:t xml:space="preserve"> </w:t>
      </w:r>
      <w:r>
        <w:t xml:space="preserve">Quotation Estimate</w:t>
      </w:r>
      <w:r>
        <w:t xml:space="preserve"> </w:t>
      </w:r>
      <w:r>
        <w:t xml:space="preserve">will be billed at the standard hourly rates listed in Section 3 and require prior written approval from the client.</w:t>
      </w:r>
    </w:p>
    <w:p>
      <w:pPr>
        <w:numPr>
          <w:ilvl w:val="0"/>
          <w:numId w:val="1003"/>
        </w:numPr>
        <w:pStyle w:val="Compact"/>
      </w:pPr>
      <w:r>
        <w:t xml:space="preserve">Cancellation policy: Cancellations made more than seven (7) days before the scheduled service date incur no charge. Cancellations within seven days are subject to a 50% fee of the estimated</w:t>
      </w:r>
      <w:r>
        <w:t xml:space="preserve"> </w:t>
      </w:r>
      <w:r>
        <w:t xml:space="preserve">Translator Interpreter</w:t>
      </w:r>
      <w:r>
        <w:t xml:space="preserve"> </w:t>
      </w:r>
      <w:r>
        <w:t xml:space="preserve">cost for that day.</w:t>
      </w:r>
    </w:p>
    <w:p>
      <w:pPr>
        <w:numPr>
          <w:ilvl w:val="0"/>
          <w:numId w:val="1003"/>
        </w:numPr>
        <w:pStyle w:val="Compact"/>
      </w:pPr>
      <w:r>
        <w:t xml:space="preserve">This</w:t>
      </w:r>
      <w:r>
        <w:t xml:space="preserve"> </w:t>
      </w:r>
      <w:r>
        <w:t xml:space="preserve">Quotation Estimate</w:t>
      </w:r>
      <w:r>
        <w:t xml:space="preserve"> </w:t>
      </w:r>
      <w:r>
        <w:t xml:space="preserve">is governed by the laws of the Federal Republic of Germany. Any disputes arising from the services described herein shall be subject to the exclusive jurisdiction of the competent courts in Frankfurt am Main.</w:t>
      </w:r>
    </w:p>
    <w:p>
      <w:pPr>
        <w:numPr>
          <w:ilvl w:val="0"/>
          <w:numId w:val="1003"/>
        </w:numPr>
        <w:pStyle w:val="Compact"/>
      </w:pPr>
      <w:r>
        <w:t xml:space="preserve">Our</w:t>
      </w:r>
      <w:r>
        <w:t xml:space="preserve"> </w:t>
      </w:r>
      <w:r>
        <w:t xml:space="preserve">Translator Interpreter</w:t>
      </w:r>
      <w:r>
        <w:t xml:space="preserve"> </w:t>
      </w:r>
      <w:r>
        <w:t xml:space="preserve">team guarantees a minimum of 99% linguistic accuracy for all delivered work. In the event of a documented error, the affected deliverable will be corrected at no additional cost.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commencement of the</w:t>
      </w:r>
      <w:r>
        <w:t xml:space="preserve"> </w:t>
      </w:r>
      <w:r>
        <w:t xml:space="preserve">Translator Interpreter</w:t>
      </w:r>
      <w:r>
        <w:t xml:space="preserve"> </w:t>
      </w:r>
      <w:r>
        <w:t xml:space="preserve">services in</w:t>
      </w:r>
      <w:r>
        <w:t xml:space="preserve"> </w:t>
      </w:r>
      <w:r>
        <w:t xml:space="preserve">Germany Frankfurt</w:t>
      </w:r>
      <w:r>
        <w:t xml:space="preserve"> </w:t>
      </w:r>
      <w:r>
        <w:t xml:space="preserve">as described herein. This signature converts the</w:t>
      </w:r>
      <w:r>
        <w:t xml:space="preserve"> </w:t>
      </w:r>
      <w:r>
        <w:t xml:space="preserve">Quotation Estimate</w:t>
      </w:r>
      <w:r>
        <w:t xml:space="preserve"> </w:t>
      </w:r>
      <w:r>
        <w:t xml:space="preserve">into a binding service agreement between both parties.</w:t>
      </w:r>
    </w:p>
    <w:p>
      <w:pPr>
        <w:pStyle w:val="BodyText"/>
      </w:pPr>
      <w:r>
        <w:rPr>
          <w:bCs/>
          <w:b/>
        </w:rPr>
        <w:t xml:space="preserve">For the Service Provider</w:t>
      </w:r>
    </w:p>
    <w:p>
      <w:pPr>
        <w:pStyle w:val="BodyText"/>
      </w:pPr>
      <w:r>
        <w:t xml:space="preserve">Frankfurt Linguistic Solutions GmbH</w:t>
      </w:r>
    </w:p>
    <w:p>
      <w:pPr>
        <w:pStyle w:val="BodyText"/>
      </w:pPr>
      <w:r>
        <w:t xml:space="preserve">Signature &amp; Date</w:t>
      </w:r>
    </w:p>
    <w:p>
      <w:pPr>
        <w:pStyle w:val="BodyText"/>
      </w:pPr>
      <w:r>
        <w:rPr>
          <w:bCs/>
          <w:b/>
        </w:rPr>
        <w:t xml:space="preserve">For the Client</w:t>
      </w:r>
    </w:p>
    <w:p>
      <w:pPr>
        <w:pStyle w:val="BodyText"/>
      </w:pPr>
      <w:r>
        <w:t xml:space="preserve">[Client Company Name]</w:t>
      </w:r>
    </w:p>
    <w:p>
      <w:pPr>
        <w:pStyle w:val="BodyText"/>
      </w:pPr>
      <w:r>
        <w:t xml:space="preserve">Signature &amp; Date</w:t>
      </w:r>
    </w:p>
    <w:bookmarkEnd w:id="26"/>
    <w:p>
      <w:pPr>
        <w:pStyle w:val="BodyText"/>
      </w:pPr>
      <w:r>
        <w:t xml:space="preserve">Frankfurt Linguistic Solutions GmbH | Goethestraße 42, 60311 Frankfurt am Main, Germany</w:t>
      </w:r>
    </w:p>
    <w:p>
      <w:pPr>
        <w:pStyle w:val="BodyText"/>
      </w:pPr>
      <w:r>
        <w:t xml:space="preserve">Phone: +49 69 1234 5678 | Email: quotations@frankfurt-linguistic-solutions.de | USt-IdNr.: DE 312 456 789</w:t>
      </w:r>
    </w:p>
    <w:p>
      <w:pPr>
        <w:pStyle w:val="BodyText"/>
      </w:pPr>
      <w:r>
        <w:t xml:space="preserve">This Quotation Estimate was generated on 14 June 2025. Document reference: QTE-2025-FRA-0847.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Germany Frankfurt</dc:title>
  <dc:creator/>
  <dc:language>en</dc:language>
  <cp:keywords/>
  <dcterms:created xsi:type="dcterms:W3CDTF">2026-10-10T02:48:50Z</dcterms:created>
  <dcterms:modified xsi:type="dcterms:W3CDTF">2026-10-10T02:48:50Z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