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Japan</w:t>
      </w:r>
      <w:r>
        <w:t xml:space="preserve"> </w:t>
      </w:r>
      <w:r>
        <w:t xml:space="preserve">Tokyo</w:t>
      </w:r>
    </w:p>
    <w:bookmarkStart w:id="20" w:name="quotation-estimate"/>
    <w:p>
      <w:pPr>
        <w:pStyle w:val="Heading1"/>
      </w:pPr>
      <w:r>
        <w:t xml:space="preserve">Quotation Estimate</w:t>
      </w:r>
    </w:p>
    <w:p>
      <w:pPr>
        <w:pStyle w:val="FirstParagraph"/>
      </w:pPr>
      <w:r>
        <w:t xml:space="preserve">Professional Translator Interpreter Services</w:t>
      </w:r>
    </w:p>
    <w:p>
      <w:pPr>
        <w:pStyle w:val="BodyText"/>
      </w:pPr>
      <w:r>
        <w:t xml:space="preserve">Specialized Linguistic Solutions for Japan Tokyo</w:t>
      </w:r>
    </w:p>
    <w:bookmarkEnd w:id="20"/>
    <w:p>
      <w:pPr>
        <w:pStyle w:val="BodyText"/>
      </w:pPr>
      <w:r>
        <w:rPr>
          <w:bCs/>
          <w:b/>
        </w:rPr>
        <w:t xml:space="preserve">Quotation No.:</w:t>
      </w:r>
      <w:r>
        <w:t xml:space="preserve"> </w:t>
      </w:r>
      <w:r>
        <w:t xml:space="preserve">QTE-TOK-2025-0487</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Service Location:</w:t>
      </w:r>
      <w:r>
        <w:t xml:space="preserve"> </w:t>
      </w:r>
      <w:r>
        <w:t xml:space="preserve">Japan Tokyo</w:t>
      </w:r>
    </w:p>
    <w:p>
      <w:pPr>
        <w:pStyle w:val="BodyText"/>
      </w:pPr>
      <w:r>
        <w:t xml:space="preserve">1. Parties Involved</w:t>
      </w:r>
    </w:p>
    <w:bookmarkStart w:id="21" w:name="service-provider"/>
    <w:p>
      <w:pPr>
        <w:pStyle w:val="Heading3"/>
      </w:pPr>
      <w:r>
        <w:t xml:space="preserve">Service Provider</w:t>
      </w:r>
    </w:p>
    <w:p>
      <w:pPr>
        <w:pStyle w:val="FirstParagraph"/>
      </w:pPr>
      <w:r>
        <w:rPr>
          <w:bCs/>
          <w:b/>
        </w:rPr>
        <w:t xml:space="preserve">Company:</w:t>
      </w:r>
      <w:r>
        <w:t xml:space="preserve"> </w:t>
      </w:r>
      <w:r>
        <w:t xml:space="preserve">Tokyo Bridge Linguistic Solutions Ltd.</w:t>
      </w:r>
    </w:p>
    <w:p>
      <w:pPr>
        <w:pStyle w:val="BodyText"/>
      </w:pPr>
      <w:r>
        <w:rPr>
          <w:bCs/>
          <w:b/>
        </w:rPr>
        <w:t xml:space="preserve">Address:</w:t>
      </w:r>
      <w:r>
        <w:t xml:space="preserve"> </w:t>
      </w:r>
      <w:r>
        <w:t xml:space="preserve">14-5-2 Roppongi, Minato-ku, Tokyo 106-0032, Japan</w:t>
      </w:r>
    </w:p>
    <w:p>
      <w:pPr>
        <w:pStyle w:val="BodyText"/>
      </w:pPr>
      <w:r>
        <w:rPr>
          <w:bCs/>
          <w:b/>
        </w:rPr>
        <w:t xml:space="preserve">Contact:</w:t>
      </w:r>
      <w:r>
        <w:t xml:space="preserve"> </w:t>
      </w:r>
      <w:r>
        <w:t xml:space="preserve">quotations@tokyobridge-linguistics.jp</w:t>
      </w:r>
    </w:p>
    <w:p>
      <w:pPr>
        <w:pStyle w:val="BodyText"/>
      </w:pPr>
      <w:r>
        <w:rPr>
          <w:bCs/>
          <w:b/>
        </w:rPr>
        <w:t xml:space="preserve">Phone:</w:t>
      </w:r>
      <w:r>
        <w:t xml:space="preserve"> </w:t>
      </w:r>
      <w:r>
        <w:t xml:space="preserve">+81-3-5421-8890</w:t>
      </w:r>
    </w:p>
    <w:p>
      <w:pPr>
        <w:pStyle w:val="BodyText"/>
      </w:pPr>
      <w:r>
        <w:rPr>
          <w:bCs/>
          <w:b/>
        </w:rPr>
        <w:t xml:space="preserve">Representative:</w:t>
      </w:r>
      <w:r>
        <w:t xml:space="preserve"> </w:t>
      </w:r>
      <w:r>
        <w:t xml:space="preserve">Kenji Tanaka, Senior Account Manager</w:t>
      </w:r>
    </w:p>
    <w:bookmarkEnd w:id="21"/>
    <w:bookmarkStart w:id="22" w:name="client-requesting-party"/>
    <w:p>
      <w:pPr>
        <w:pStyle w:val="Heading3"/>
      </w:pPr>
      <w:r>
        <w:t xml:space="preserve">Client / Requesting Party</w:t>
      </w:r>
    </w:p>
    <w:p>
      <w:pPr>
        <w:pStyle w:val="FirstParagraph"/>
      </w:pPr>
      <w:r>
        <w:rPr>
          <w:bCs/>
          <w:b/>
        </w:rPr>
        <w:t xml:space="preserve">Company:</w:t>
      </w:r>
      <w:r>
        <w:t xml:space="preserve"> </w:t>
      </w:r>
      <w:r>
        <w:t xml:space="preserve">[Client Company Name]</w:t>
      </w:r>
    </w:p>
    <w:p>
      <w:pPr>
        <w:pStyle w:val="BodyText"/>
      </w:pPr>
      <w:r>
        <w:rPr>
          <w:bCs/>
          <w:b/>
        </w:rPr>
        <w:t xml:space="preserve">Address:</w:t>
      </w:r>
      <w:r>
        <w:t xml:space="preserve"> </w:t>
      </w:r>
      <w:r>
        <w:t xml:space="preserve">[Client Address]</w:t>
      </w:r>
    </w:p>
    <w:p>
      <w:pPr>
        <w:pStyle w:val="BodyText"/>
      </w:pPr>
      <w:r>
        <w:rPr>
          <w:bCs/>
          <w:b/>
        </w:rPr>
        <w:t xml:space="preserve">Contact:</w:t>
      </w:r>
      <w:r>
        <w:t xml:space="preserve"> </w:t>
      </w:r>
      <w:r>
        <w:t xml:space="preserve">[Client Email]</w:t>
      </w:r>
    </w:p>
    <w:p>
      <w:pPr>
        <w:pStyle w:val="BodyText"/>
      </w:pPr>
      <w:r>
        <w:rPr>
          <w:bCs/>
          <w:b/>
        </w:rPr>
        <w:t xml:space="preserve">Phone:</w:t>
      </w:r>
      <w:r>
        <w:t xml:space="preserve"> </w:t>
      </w:r>
      <w:r>
        <w:t xml:space="preserve">[Client Phone]</w:t>
      </w:r>
    </w:p>
    <w:p>
      <w:pPr>
        <w:pStyle w:val="BodyText"/>
      </w:pPr>
      <w:r>
        <w:rPr>
          <w:bCs/>
          <w:b/>
        </w:rPr>
        <w:t xml:space="preserve">Point of Contact:</w:t>
      </w:r>
      <w:r>
        <w:t xml:space="preserve"> </w:t>
      </w:r>
      <w:r>
        <w:t xml:space="preserve">[Client Representative Name]</w:t>
      </w:r>
    </w:p>
    <w:bookmarkEnd w:id="22"/>
    <w:p>
      <w:pPr>
        <w:pStyle w:val="BodyText"/>
      </w:pPr>
      <w:r>
        <w:t xml:space="preserve">2. Scope of Services – Translator Interpreter in Japan Tokyo</w:t>
      </w:r>
    </w:p>
    <w:p>
      <w:pPr>
        <w:pStyle w:val="BodyText"/>
      </w:pPr>
      <w:r>
        <w:t xml:space="preserve">This</w:t>
      </w:r>
      <w:r>
        <w:t xml:space="preserve"> </w:t>
      </w:r>
      <w:r>
        <w:t xml:space="preserve">Quotation Estimate</w:t>
      </w:r>
      <w:r>
        <w:t xml:space="preserve"> </w:t>
      </w:r>
      <w:r>
        <w:t xml:space="preserve">is prepared to provide a comprehensive and transparent cost breakdown for the engagement of a certified</w:t>
      </w:r>
      <w:r>
        <w:t xml:space="preserve"> </w:t>
      </w:r>
      <w:r>
        <w:t xml:space="preserve">Translator Interpreter</w:t>
      </w:r>
      <w:r>
        <w:t xml:space="preserve"> </w:t>
      </w:r>
      <w:r>
        <w:t xml:space="preserve">to deliver professional linguistic services within the metropolitan area of</w:t>
      </w:r>
      <w:r>
        <w:t xml:space="preserve"> </w:t>
      </w:r>
      <w:r>
        <w:t xml:space="preserve">Japan Tokyo</w:t>
      </w:r>
      <w:r>
        <w:t xml:space="preserve">. Our firm specializes in deploying highly qualified bilingual and multilingual professionals who possess deep cultural knowledge of the Tokyo region, ensuring seamless communication for international business delegations, legal proceedings, medical consultations, technical conferences, and corporate negotiations.</w:t>
      </w:r>
    </w:p>
    <w:p>
      <w:pPr>
        <w:pStyle w:val="BodyText"/>
      </w:pPr>
      <w:r>
        <w:t xml:space="preserve">The</w:t>
      </w:r>
      <w:r>
        <w:t xml:space="preserve"> </w:t>
      </w:r>
      <w:r>
        <w:t xml:space="preserve">Translator Interpreter</w:t>
      </w:r>
      <w:r>
        <w:t xml:space="preserve"> </w:t>
      </w:r>
      <w:r>
        <w:t xml:space="preserve">assigned to this engagement will hold a minimum of five years of professional experience operating in the</w:t>
      </w:r>
      <w:r>
        <w:t xml:space="preserve"> </w:t>
      </w:r>
      <w:r>
        <w:t xml:space="preserve">Japan Tokyo</w:t>
      </w:r>
      <w:r>
        <w:t xml:space="preserve"> </w:t>
      </w:r>
      <w:r>
        <w:t xml:space="preserve">market, with demonstrated proficiency in both Japanese and the client's primary working language. All interpreters are certified by the Japan Translation Association (JTA) and hold relevant credentials in their specialized field, whether that be legal, medical, financial, or technical interpretation.</w:t>
      </w:r>
    </w:p>
    <w:p>
      <w:pPr>
        <w:pStyle w:val="BodyText"/>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 / Quantity</w:t>
            </w:r>
          </w:p>
        </w:tc>
        <w:tc>
          <w:tcPr/>
          <w:p>
            <w:pPr>
              <w:pStyle w:val="Compact"/>
              <w:jc w:val="left"/>
            </w:pPr>
            <w:r>
              <w:t xml:space="preserve">Unit Rate (JPY)</w:t>
            </w:r>
          </w:p>
        </w:tc>
        <w:tc>
          <w:tcPr/>
          <w:p>
            <w:pPr>
              <w:pStyle w:val="Compact"/>
              <w:jc w:val="left"/>
            </w:pPr>
            <w:r>
              <w:t xml:space="preserve">Unit Rate (USD)</w:t>
            </w:r>
          </w:p>
        </w:tc>
        <w:tc>
          <w:tcPr/>
          <w:p>
            <w:pPr>
              <w:pStyle w:val="Compact"/>
              <w:jc w:val="left"/>
            </w:pPr>
            <w:r>
              <w:t xml:space="preserve">Subtotal (USD)</w:t>
            </w:r>
          </w:p>
        </w:tc>
      </w:tr>
      <w:tr>
        <w:tc>
          <w:tcPr/>
          <w:p>
            <w:pPr>
              <w:pStyle w:val="Compact"/>
              <w:jc w:val="left"/>
            </w:pPr>
            <w:r>
              <w:t xml:space="preserve">1</w:t>
            </w:r>
          </w:p>
        </w:tc>
        <w:tc>
          <w:tcPr/>
          <w:p>
            <w:pPr>
              <w:pStyle w:val="Compact"/>
              <w:jc w:val="left"/>
            </w:pPr>
            <w:r>
              <w:t xml:space="preserve">Simultaneous Interpretation – Business Conference (Japan Tokyo, Marunouchi District)</w:t>
            </w:r>
          </w:p>
        </w:tc>
        <w:tc>
          <w:tcPr/>
          <w:p>
            <w:pPr>
              <w:pStyle w:val="Compact"/>
              <w:jc w:val="left"/>
            </w:pPr>
            <w:r>
              <w:t xml:space="preserve">8 hours</w:t>
            </w:r>
          </w:p>
        </w:tc>
        <w:tc>
          <w:tcPr/>
          <w:p>
            <w:pPr>
              <w:pStyle w:val="Compact"/>
              <w:jc w:val="left"/>
            </w:pPr>
            <w:r>
              <w:t xml:space="preserve">¥45,000</w:t>
            </w:r>
          </w:p>
        </w:tc>
        <w:tc>
          <w:tcPr/>
          <w:p>
            <w:pPr>
              <w:pStyle w:val="Compact"/>
              <w:jc w:val="left"/>
            </w:pPr>
            <w:r>
              <w:t xml:space="preserve">$300.00</w:t>
            </w:r>
          </w:p>
        </w:tc>
        <w:tc>
          <w:tcPr/>
          <w:p>
            <w:pPr>
              <w:pStyle w:val="Compact"/>
              <w:jc w:val="left"/>
            </w:pPr>
            <w:r>
              <w:t xml:space="preserve">$2,400.00</w:t>
            </w:r>
          </w:p>
        </w:tc>
      </w:tr>
      <w:tr>
        <w:tc>
          <w:tcPr/>
          <w:p>
            <w:pPr>
              <w:pStyle w:val="Compact"/>
              <w:jc w:val="left"/>
            </w:pPr>
            <w:r>
              <w:t xml:space="preserve">2</w:t>
            </w:r>
          </w:p>
        </w:tc>
        <w:tc>
          <w:tcPr/>
          <w:p>
            <w:pPr>
              <w:pStyle w:val="Compact"/>
              <w:jc w:val="left"/>
            </w:pPr>
            <w:r>
              <w:t xml:space="preserve">Consecutive Interpretation – Legal Consultation (Tokyo District Court, Chiyoda-ku)</w:t>
            </w:r>
          </w:p>
        </w:tc>
        <w:tc>
          <w:tcPr/>
          <w:p>
            <w:pPr>
              <w:pStyle w:val="Compact"/>
              <w:jc w:val="left"/>
            </w:pPr>
            <w:r>
              <w:t xml:space="preserve">6 hours</w:t>
            </w:r>
          </w:p>
        </w:tc>
        <w:tc>
          <w:tcPr/>
          <w:p>
            <w:pPr>
              <w:pStyle w:val="Compact"/>
              <w:jc w:val="left"/>
            </w:pPr>
            <w:r>
              <w:t xml:space="preserve">¥50,000</w:t>
            </w:r>
          </w:p>
        </w:tc>
        <w:tc>
          <w:tcPr/>
          <w:p>
            <w:pPr>
              <w:pStyle w:val="Compact"/>
              <w:jc w:val="left"/>
            </w:pPr>
            <w:r>
              <w:t xml:space="preserve">$333.00</w:t>
            </w:r>
          </w:p>
        </w:tc>
        <w:tc>
          <w:tcPr/>
          <w:p>
            <w:pPr>
              <w:pStyle w:val="Compact"/>
              <w:jc w:val="left"/>
            </w:pPr>
            <w:r>
              <w:t xml:space="preserve">$1,998.00</w:t>
            </w:r>
          </w:p>
        </w:tc>
      </w:tr>
      <w:tr>
        <w:tc>
          <w:tcPr/>
          <w:p>
            <w:pPr>
              <w:pStyle w:val="Compact"/>
              <w:jc w:val="left"/>
            </w:pPr>
            <w:r>
              <w:t xml:space="preserve">3</w:t>
            </w:r>
          </w:p>
        </w:tc>
        <w:tc>
          <w:tcPr/>
          <w:p>
            <w:pPr>
              <w:pStyle w:val="Compact"/>
              <w:jc w:val="left"/>
            </w:pPr>
            <w:r>
              <w:t xml:space="preserve">Document Translation – Technical Manuals (Japanese to English, 120 pages)</w:t>
            </w:r>
          </w:p>
        </w:tc>
        <w:tc>
          <w:tcPr/>
          <w:p>
            <w:pPr>
              <w:pStyle w:val="Compact"/>
              <w:jc w:val="left"/>
            </w:pPr>
            <w:r>
              <w:t xml:space="preserve">120 pages</w:t>
            </w:r>
          </w:p>
        </w:tc>
        <w:tc>
          <w:tcPr/>
          <w:p>
            <w:pPr>
              <w:pStyle w:val="Compact"/>
              <w:jc w:val="left"/>
            </w:pPr>
            <w:r>
              <w:t xml:space="preserve">¥3,500/page</w:t>
            </w:r>
          </w:p>
        </w:tc>
        <w:tc>
          <w:tcPr/>
          <w:p>
            <w:pPr>
              <w:pStyle w:val="Compact"/>
              <w:jc w:val="left"/>
            </w:pPr>
            <w:r>
              <w:t xml:space="preserve">$23.33</w:t>
            </w:r>
          </w:p>
        </w:tc>
        <w:tc>
          <w:tcPr/>
          <w:p>
            <w:pPr>
              <w:pStyle w:val="Compact"/>
              <w:jc w:val="left"/>
            </w:pPr>
            <w:r>
              <w:t xml:space="preserve">$2,799.60</w:t>
            </w:r>
          </w:p>
        </w:tc>
      </w:tr>
      <w:tr>
        <w:tc>
          <w:tcPr/>
          <w:p>
            <w:pPr>
              <w:pStyle w:val="Compact"/>
              <w:jc w:val="left"/>
            </w:pPr>
            <w:r>
              <w:t xml:space="preserve">4</w:t>
            </w:r>
          </w:p>
        </w:tc>
        <w:tc>
          <w:tcPr/>
          <w:p>
            <w:pPr>
              <w:pStyle w:val="Compact"/>
              <w:jc w:val="left"/>
            </w:pPr>
            <w:r>
              <w:t xml:space="preserve">On-site Interpreter Escort – Factory Tour &amp; Site Inspection (Tokyo Bay Area)</w:t>
            </w:r>
          </w:p>
        </w:tc>
        <w:tc>
          <w:tcPr/>
          <w:p>
            <w:pPr>
              <w:pStyle w:val="Compact"/>
              <w:jc w:val="left"/>
            </w:pPr>
            <w:r>
              <w:t xml:space="preserve">5 hours</w:t>
            </w:r>
          </w:p>
        </w:tc>
        <w:tc>
          <w:tcPr/>
          <w:p>
            <w:pPr>
              <w:pStyle w:val="Compact"/>
              <w:jc w:val="left"/>
            </w:pPr>
            <w:r>
              <w:t xml:space="preserve">¥40,000</w:t>
            </w:r>
          </w:p>
        </w:tc>
        <w:tc>
          <w:tcPr/>
          <w:p>
            <w:pPr>
              <w:pStyle w:val="Compact"/>
              <w:jc w:val="left"/>
            </w:pPr>
            <w:r>
              <w:t xml:space="preserve">$267.00</w:t>
            </w:r>
          </w:p>
        </w:tc>
        <w:tc>
          <w:tcPr/>
          <w:p>
            <w:pPr>
              <w:pStyle w:val="Compact"/>
              <w:jc w:val="left"/>
            </w:pPr>
            <w:r>
              <w:t xml:space="preserve">$1,335.00</w:t>
            </w:r>
          </w:p>
        </w:tc>
      </w:tr>
      <w:tr>
        <w:tc>
          <w:tcPr/>
          <w:p>
            <w:pPr>
              <w:pStyle w:val="Compact"/>
              <w:jc w:val="left"/>
            </w:pPr>
            <w:r>
              <w:t xml:space="preserve">5</w:t>
            </w:r>
          </w:p>
        </w:tc>
        <w:tc>
          <w:tcPr/>
          <w:p>
            <w:pPr>
              <w:pStyle w:val="Compact"/>
              <w:jc w:val="left"/>
            </w:pPr>
            <w:r>
              <w:t xml:space="preserve">Remote Video Interpretation – Weekly Board Meetings (Japan Tokyo HQ)</w:t>
            </w:r>
          </w:p>
        </w:tc>
        <w:tc>
          <w:tcPr/>
          <w:p>
            <w:pPr>
              <w:pStyle w:val="Compact"/>
              <w:jc w:val="left"/>
            </w:pPr>
            <w:r>
              <w:t xml:space="preserve">4 sessions × 2 hrs</w:t>
            </w:r>
          </w:p>
        </w:tc>
        <w:tc>
          <w:tcPr/>
          <w:p>
            <w:pPr>
              <w:pStyle w:val="Compact"/>
              <w:jc w:val="left"/>
            </w:pPr>
            <w:r>
              <w:t xml:space="preserve">¥35,000/session</w:t>
            </w:r>
          </w:p>
        </w:tc>
        <w:tc>
          <w:tcPr/>
          <w:p>
            <w:pPr>
              <w:pStyle w:val="Compact"/>
              <w:jc w:val="left"/>
            </w:pPr>
            <w:r>
              <w:t xml:space="preserve">$233.00</w:t>
            </w:r>
          </w:p>
        </w:tc>
        <w:tc>
          <w:tcPr/>
          <w:p>
            <w:pPr>
              <w:pStyle w:val="Compact"/>
              <w:jc w:val="left"/>
            </w:pPr>
            <w:r>
              <w:t xml:space="preserve">$932.00</w:t>
            </w:r>
          </w:p>
        </w:tc>
      </w:tr>
      <w:tr>
        <w:tc>
          <w:tcPr/>
          <w:p>
            <w:pPr>
              <w:pStyle w:val="Compact"/>
              <w:jc w:val="left"/>
            </w:pPr>
            <w:r>
              <w:t xml:space="preserve">6</w:t>
            </w:r>
          </w:p>
        </w:tc>
        <w:tc>
          <w:tcPr/>
          <w:p>
            <w:pPr>
              <w:pStyle w:val="Compact"/>
              <w:jc w:val="left"/>
            </w:pPr>
            <w:r>
              <w:t xml:space="preserve">Travel &amp; Local Transportation within Japan Tokyo (Metro, Taxi, Shinkansen)</w:t>
            </w:r>
          </w:p>
        </w:tc>
        <w:tc>
          <w:tcPr/>
          <w:p>
            <w:pPr>
              <w:pStyle w:val="Compact"/>
              <w:jc w:val="left"/>
            </w:pPr>
            <w:r>
              <w:t xml:space="preserve">Flat fee</w:t>
            </w:r>
          </w:p>
        </w:tc>
        <w:tc>
          <w:tcPr/>
          <w:p>
            <w:pPr>
              <w:pStyle w:val="Compact"/>
              <w:jc w:val="left"/>
            </w:pPr>
            <w:r>
              <w:t xml:space="preserve">—</w:t>
            </w:r>
          </w:p>
        </w:tc>
        <w:tc>
          <w:tcPr/>
          <w:p>
            <w:pPr>
              <w:pStyle w:val="Compact"/>
              <w:jc w:val="left"/>
            </w:pPr>
            <w:r>
              <w:t xml:space="preserve">—</w:t>
            </w:r>
          </w:p>
        </w:tc>
        <w:tc>
          <w:tcPr/>
          <w:p>
            <w:pPr>
              <w:pStyle w:val="Compact"/>
              <w:jc w:val="left"/>
            </w:pPr>
            <w:r>
              <w:t xml:space="preserve">$450.00</w:t>
            </w:r>
          </w:p>
        </w:tc>
      </w:tr>
      <w:tr>
        <w:tc>
          <w:tcPr/>
          <w:p>
            <w:pPr>
              <w:pStyle w:val="Compact"/>
              <w:jc w:val="left"/>
            </w:pPr>
            <w:r>
              <w:t xml:space="preserve">7</w:t>
            </w:r>
          </w:p>
        </w:tc>
        <w:tc>
          <w:tcPr/>
          <w:p>
            <w:pPr>
              <w:pStyle w:val="Compact"/>
              <w:jc w:val="left"/>
            </w:pPr>
            <w:r>
              <w:t xml:space="preserve">Project Management &amp; Quality Assurance Coordination</w:t>
            </w:r>
          </w:p>
        </w:tc>
        <w:tc>
          <w:tcPr/>
          <w:p>
            <w:pPr>
              <w:pStyle w:val="Compact"/>
              <w:jc w:val="left"/>
            </w:pPr>
            <w:r>
              <w:t xml:space="preserve">Flat fee</w:t>
            </w:r>
          </w:p>
        </w:tc>
        <w:tc>
          <w:tcPr/>
          <w:p>
            <w:pPr>
              <w:pStyle w:val="Compact"/>
              <w:jc w:val="left"/>
            </w:pPr>
            <w:r>
              <w:t xml:space="preserve">—</w:t>
            </w:r>
          </w:p>
        </w:tc>
        <w:tc>
          <w:tcPr/>
          <w:p>
            <w:pPr>
              <w:pStyle w:val="Compact"/>
              <w:jc w:val="left"/>
            </w:pPr>
            <w:r>
              <w:t xml:space="preserve">—</w:t>
            </w:r>
          </w:p>
        </w:tc>
        <w:tc>
          <w:tcPr/>
          <w:p>
            <w:pPr>
              <w:pStyle w:val="Compact"/>
              <w:jc w:val="left"/>
            </w:pPr>
            <w:r>
              <w:t xml:space="preserve">$600.00</w:t>
            </w:r>
          </w:p>
        </w:tc>
      </w:tr>
      <w:tr>
        <w:tc>
          <w:tcPr/>
          <w:p>
            <w:pPr>
              <w:pStyle w:val="Compact"/>
              <w:jc w:val="left"/>
            </w:pPr>
            <w:r>
              <w:t xml:space="preserve">8</w:t>
            </w:r>
          </w:p>
        </w:tc>
        <w:tc>
          <w:tcPr/>
          <w:p>
            <w:pPr>
              <w:pStyle w:val="Compact"/>
              <w:jc w:val="left"/>
            </w:pPr>
            <w:r>
              <w:t xml:space="preserve">Urgent / After-hours Availability Surcharge (if applicable)</w:t>
            </w:r>
          </w:p>
        </w:tc>
        <w:tc>
          <w:tcPr/>
          <w:p>
            <w:pPr>
              <w:pStyle w:val="Compact"/>
              <w:jc w:val="left"/>
            </w:pPr>
            <w:r>
              <w:t xml:space="preserve">Up to 4 hrs</w:t>
            </w:r>
          </w:p>
        </w:tc>
        <w:tc>
          <w:tcPr/>
          <w:p>
            <w:pPr>
              <w:pStyle w:val="Compact"/>
              <w:jc w:val="left"/>
            </w:pPr>
            <w:r>
              <w:t xml:space="preserve">¥60,000</w:t>
            </w:r>
          </w:p>
        </w:tc>
        <w:tc>
          <w:tcPr/>
          <w:p>
            <w:pPr>
              <w:pStyle w:val="Compact"/>
              <w:jc w:val="left"/>
            </w:pPr>
            <w:r>
              <w:t xml:space="preserve">$400.00</w:t>
            </w:r>
          </w:p>
        </w:tc>
        <w:tc>
          <w:tcPr/>
          <w:p>
            <w:pPr>
              <w:pStyle w:val="Compact"/>
              <w:jc w:val="left"/>
            </w:pPr>
            <w:r>
              <w:t xml:space="preserve">$1,600.00</w:t>
            </w:r>
          </w:p>
        </w:tc>
      </w:tr>
      <w:tr>
        <w:tc>
          <w:tcPr>
            <w:gridSpan w:val="5"/>
          </w:tcPr>
          <w:p>
            <w:pPr>
              <w:pStyle w:val="Compact"/>
              <w:jc w:val="left"/>
            </w:pPr>
            <w:r>
              <w:t xml:space="preserve">TOTAL ESTIMATED COST (Before Tax)</w:t>
            </w:r>
          </w:p>
        </w:tc>
        <w:tc>
          <w:tcPr/>
          <w:p>
            <w:pPr>
              <w:pStyle w:val="Compact"/>
              <w:jc w:val="left"/>
            </w:pPr>
            <w:r>
              <w:t xml:space="preserve">$12,114.60</w:t>
            </w:r>
          </w:p>
        </w:tc>
      </w:tr>
      <w:tr>
        <w:tc>
          <w:tcPr>
            <w:gridSpan w:val="5"/>
          </w:tcPr>
          <w:p>
            <w:pPr>
              <w:pStyle w:val="Compact"/>
              <w:jc w:val="left"/>
            </w:pPr>
            <w:r>
              <w:t xml:space="preserve">Consumption Tax (10% – Japan)</w:t>
            </w:r>
          </w:p>
        </w:tc>
        <w:tc>
          <w:tcPr/>
          <w:p>
            <w:pPr>
              <w:pStyle w:val="Compact"/>
              <w:jc w:val="left"/>
            </w:pPr>
            <w:r>
              <w:t xml:space="preserve">$1,211.46</w:t>
            </w:r>
          </w:p>
        </w:tc>
      </w:tr>
      <w:tr>
        <w:tc>
          <w:tcPr>
            <w:gridSpan w:val="5"/>
          </w:tcPr>
          <w:p>
            <w:pPr>
              <w:pStyle w:val="Compact"/>
              <w:jc w:val="left"/>
            </w:pPr>
            <w:r>
              <w:t xml:space="preserve">GRAND TOTAL</w:t>
            </w:r>
          </w:p>
        </w:tc>
        <w:tc>
          <w:tcPr/>
          <w:p>
            <w:pPr>
              <w:pStyle w:val="Compact"/>
              <w:jc w:val="left"/>
            </w:pPr>
            <w:r>
              <w:t xml:space="preserve">$13,326.06</w:t>
            </w:r>
          </w:p>
        </w:tc>
      </w:tr>
    </w:tbl>
    <w:p>
      <w:pPr>
        <w:pStyle w:val="BodyText"/>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expiration date, rates may be subject to revision based on market conditions in</w:t>
      </w:r>
      <w:r>
        <w:t xml:space="preserve"> </w:t>
      </w:r>
      <w:r>
        <w:t xml:space="preserve">Japan Tokyo</w:t>
      </w:r>
      <w:r>
        <w:t xml:space="preserve">.</w:t>
      </w:r>
    </w:p>
    <w:p>
      <w:pPr>
        <w:numPr>
          <w:ilvl w:val="0"/>
          <w:numId w:val="1001"/>
        </w:numPr>
        <w:pStyle w:val="Compact"/>
      </w:pPr>
      <w:r>
        <w:t xml:space="preserve">All</w:t>
      </w:r>
      <w:r>
        <w:t xml:space="preserve"> </w:t>
      </w:r>
      <w:r>
        <w:t xml:space="preserve">Translator Interpreter</w:t>
      </w:r>
      <w:r>
        <w:t xml:space="preserve"> </w:t>
      </w:r>
      <w:r>
        <w:t xml:space="preserve">services will be performed by professionals who are residents of or regularly operating within the</w:t>
      </w:r>
      <w:r>
        <w:t xml:space="preserve"> </w:t>
      </w:r>
      <w:r>
        <w:t xml:space="preserve">Japan Tokyo</w:t>
      </w:r>
      <w:r>
        <w:t xml:space="preserve"> </w:t>
      </w:r>
      <w:r>
        <w:t xml:space="preserve">metropolitan area, ensuring familiarity with local terminology, cultural protocols, and regional business customs.</w:t>
      </w:r>
    </w:p>
    <w:p>
      <w:pPr>
        <w:numPr>
          <w:ilvl w:val="0"/>
          <w:numId w:val="1001"/>
        </w:numPr>
        <w:pStyle w:val="Compact"/>
      </w:pPr>
      <w:r>
        <w:t xml:space="preserve">Payment terms: 50% deposit due upon acceptance of this quotation; remaining 50% due within fourteen (14) business days following completion of all services.</w:t>
      </w:r>
    </w:p>
    <w:p>
      <w:pPr>
        <w:numPr>
          <w:ilvl w:val="0"/>
          <w:numId w:val="1001"/>
        </w:numPr>
        <w:pStyle w:val="Compact"/>
      </w:pPr>
      <w:r>
        <w:t xml:space="preserve">Cancellations made more than 72 hours before the scheduled service will incur no penalty. Cancellations within 72 hours will be subject to a 50% fee of the scheduled session cost.</w:t>
      </w:r>
    </w:p>
    <w:p>
      <w:pPr>
        <w:numPr>
          <w:ilvl w:val="0"/>
          <w:numId w:val="1001"/>
        </w:numPr>
        <w:pStyle w:val="Compact"/>
      </w:pPr>
      <w:r>
        <w:t xml:space="preserve">The</w:t>
      </w:r>
      <w:r>
        <w:t xml:space="preserve"> </w:t>
      </w:r>
      <w:r>
        <w:t xml:space="preserve">Translator Interpreter</w:t>
      </w:r>
      <w:r>
        <w:t xml:space="preserve"> </w:t>
      </w:r>
      <w:r>
        <w:t xml:space="preserve">is bound by a strict Non-Disclosure Agreement (NDA) covering all information encountered during the engagement in</w:t>
      </w:r>
      <w:r>
        <w:t xml:space="preserve"> </w:t>
      </w:r>
      <w:r>
        <w:t xml:space="preserve">Japan Tokyo</w:t>
      </w:r>
      <w:r>
        <w:t xml:space="preserve">.</w:t>
      </w:r>
    </w:p>
    <w:p>
      <w:pPr>
        <w:numPr>
          <w:ilvl w:val="0"/>
          <w:numId w:val="1001"/>
        </w:numPr>
        <w:pStyle w:val="Compact"/>
      </w:pPr>
      <w:r>
        <w:t xml:space="preserve">Any additional hours, pages, or sessions beyond those specified in this estimate will be billed at the same unit rates listed above, subject to prior written approval by the client.</w:t>
      </w:r>
    </w:p>
    <w:p>
      <w:pPr>
        <w:numPr>
          <w:ilvl w:val="0"/>
          <w:numId w:val="1001"/>
        </w:numPr>
        <w:pStyle w:val="Compact"/>
      </w:pPr>
      <w:r>
        <w:t xml:space="preserve">All rates are quoted in US Dollars (USD) for international client convenience. Equivalent Japanese Yen (JPY) amounts are provided for reference. Final invoicing will be in USD via international wire transfer.</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formally accepted in writing by both parties.</w:t>
      </w:r>
    </w:p>
    <w:p>
      <w:pPr>
        <w:numPr>
          <w:ilvl w:val="0"/>
          <w:numId w:val="1001"/>
        </w:numPr>
        <w:pStyle w:val="Compact"/>
      </w:pPr>
      <w:r>
        <w:t xml:space="preserve">Force majeure events, including but not limited to natural disasters common to the</w:t>
      </w:r>
      <w:r>
        <w:t xml:space="preserve"> </w:t>
      </w:r>
      <w:r>
        <w:t xml:space="preserve">Japan Tokyo</w:t>
      </w:r>
      <w:r>
        <w:t xml:space="preserve"> </w:t>
      </w:r>
      <w:r>
        <w:t xml:space="preserve">region (typhoons, earthquakes), may necessitate rescheduling without penalty to either party.</w:t>
      </w:r>
    </w:p>
    <w:p>
      <w:pPr>
        <w:pStyle w:val="FirstParagraph"/>
      </w:pPr>
      <w:r>
        <w:t xml:space="preserve">5. Acceptance and Authorization</w:t>
      </w:r>
    </w:p>
    <w:p>
      <w:pPr>
        <w:pStyle w:val="BodyText"/>
      </w:pPr>
      <w:r>
        <w:rPr>
          <w:bCs/>
          <w:b/>
        </w:rPr>
        <w:t xml:space="preserve">By signing below, the client acknowledges and accepts this Quotation Estimate for Translator Interpreter services to be delivered in Japan Tokyo.</w:t>
      </w:r>
    </w:p>
    <w:p>
      <w:pPr>
        <w:pStyle w:val="BodyText"/>
      </w:pPr>
      <w:r>
        <w:t xml:space="preserve">This acceptance authorizes Tokyo Bridge Linguistic Solutions Ltd. to proceed with the engagement as described herein.</w:t>
      </w:r>
    </w:p>
    <w:p>
      <w:pPr>
        <w:pStyle w:val="BodyText"/>
      </w:pPr>
      <w:r>
        <w:rPr>
          <w:bCs/>
          <w:b/>
        </w:rPr>
        <w:t xml:space="preserve">Client Representative</w:t>
      </w:r>
    </w:p>
    <w:p>
      <w:pPr>
        <w:pStyle w:val="BodyText"/>
      </w:pPr>
      <w:r>
        <w:t xml:space="preserve">Name / Title / Date</w:t>
      </w:r>
    </w:p>
    <w:p>
      <w:pPr>
        <w:pStyle w:val="BodyText"/>
      </w:pPr>
      <w:r>
        <w:rPr>
          <w:bCs/>
          <w:b/>
        </w:rPr>
        <w:t xml:space="preserve">Service Provider</w:t>
      </w:r>
    </w:p>
    <w:p>
      <w:pPr>
        <w:pStyle w:val="BodyText"/>
      </w:pPr>
      <w:r>
        <w:t xml:space="preserve">Kenji Tanaka / Senior Account Manager / Date</w:t>
      </w:r>
    </w:p>
    <w:p>
      <w:pPr>
        <w:pStyle w:val="BodyText"/>
      </w:pPr>
      <w:r>
        <w:t xml:space="preserve">Quotation Estimate No. QTE-TOK-2025-0487 | Tokyo Bridge Linguistic Solutions Ltd. | 14-5-2 Roppongi, Minato-ku, Tokyo 106-0032, Japan</w:t>
      </w:r>
    </w:p>
    <w:p>
      <w:pPr>
        <w:pStyle w:val="BodyText"/>
      </w:pPr>
      <w:r>
        <w:t xml:space="preserve">This document is confidential and intended solely for the named recipient. Unauthorized distribution is prohibited.</w:t>
      </w:r>
    </w:p>
    <w:p>
      <w:pPr>
        <w:pStyle w:val="BodyText"/>
      </w:pPr>
      <w:r>
        <w:t xml:space="preserve">For inquiries regarding this Quotation Estimate or to request a revised Translator Interpreter schedule for Japan Tokyo, please contact quotations@tokyobridge-linguistics.jp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Translator Interpreter Services - Japan Tokyo</dc:title>
  <dc:creator/>
  <dc:language>en</dc:language>
  <cp:keywords/>
  <dcterms:created xsi:type="dcterms:W3CDTF">2026-10-10T02:32:52Z</dcterms:created>
  <dcterms:modified xsi:type="dcterms:W3CDTF">2026-10-10T02:32:52Z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