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Translator Interpreter Services</w:t>
      </w:r>
    </w:p>
    <w:p>
      <w:pPr>
        <w:pStyle w:val="BodyText"/>
      </w:pPr>
      <w:r>
        <w:t xml:space="preserve">Prepared for Clients in Kuwait, Kuwait City</w:t>
      </w:r>
    </w:p>
    <w:p>
      <w:pPr>
        <w:pStyle w:val="BodyText"/>
      </w:pPr>
      <w:r>
        <w:t xml:space="preserve">Document Reference: QE-KWT-2025-0472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Quotation Estimate No.:</w:t>
      </w:r>
      <w:r>
        <w:t xml:space="preserve"> </w:t>
      </w:r>
      <w:r>
        <w:t xml:space="preserve">QE-KWT-2025-0472</w:t>
      </w:r>
    </w:p>
    <w:p>
      <w:pPr>
        <w:pStyle w:val="BodyText"/>
      </w:pPr>
      <w:r>
        <w:rPr>
          <w:bCs/>
          <w:b/>
        </w:rPr>
        <w:t xml:space="preserve">Prepared By:</w:t>
      </w:r>
      <w:r>
        <w:t xml:space="preserve"> </w:t>
      </w:r>
      <w:r>
        <w:t xml:space="preserve">Gulf Linguistic Solutions LLC</w:t>
      </w:r>
      <w:r>
        <w:br/>
      </w:r>
      <w:r>
        <w:rPr>
          <w:bCs/>
          <w:b/>
        </w:rPr>
        <w:t xml:space="preserve">Location:</w:t>
      </w:r>
      <w:r>
        <w:t xml:space="preserve"> </w:t>
      </w:r>
      <w:r>
        <w:t xml:space="preserve">Kuwait, Kuwait City</w:t>
      </w:r>
      <w:r>
        <w:br/>
      </w:r>
      <w:r>
        <w:rPr>
          <w:bCs/>
          <w:b/>
        </w:rPr>
        <w:t xml:space="preserve">Contact:</w:t>
      </w:r>
      <w:r>
        <w:t xml:space="preserve"> </w:t>
      </w:r>
      <w:r>
        <w:t xml:space="preserve">info@gulf-linguistic-kw.com</w:t>
      </w:r>
    </w:p>
    <w:p>
      <w:pPr>
        <w:pStyle w:val="BodyText"/>
      </w:pPr>
      <w:r>
        <w:t xml:space="preserve">1. Client Information</w:t>
      </w:r>
    </w:p>
    <w:bookmarkStart w:id="21" w:name="client-organization"/>
    <w:p>
      <w:pPr>
        <w:pStyle w:val="Heading4"/>
      </w:pPr>
      <w:r>
        <w:t xml:space="preserve">Client / Organization</w:t>
      </w:r>
    </w:p>
    <w:p>
      <w:pPr>
        <w:pStyle w:val="FirstParagraph"/>
      </w:pPr>
      <w:r>
        <w:rPr>
          <w:bCs/>
          <w:b/>
        </w:rPr>
        <w:t xml:space="preserve">Name:</w:t>
      </w:r>
      <w:r>
        <w:t xml:space="preserve"> </w:t>
      </w:r>
      <w:r>
        <w:t xml:space="preserve">[Client Company Name]</w:t>
      </w:r>
    </w:p>
    <w:p>
      <w:pPr>
        <w:pStyle w:val="BodyText"/>
      </w:pPr>
      <w:r>
        <w:rPr>
          <w:bCs/>
          <w:b/>
        </w:rPr>
        <w:t xml:space="preserve">Address:</w:t>
      </w:r>
      <w:r>
        <w:t xml:space="preserve"> </w:t>
      </w:r>
      <w:r>
        <w:t xml:space="preserve">[Street, District], Kuwait, Kuwait City</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bookmarkEnd w:id="21"/>
    <w:bookmarkStart w:id="22" w:name="service-location"/>
    <w:p>
      <w:pPr>
        <w:pStyle w:val="Heading4"/>
      </w:pPr>
      <w:r>
        <w:t xml:space="preserve">Service Location</w:t>
      </w:r>
    </w:p>
    <w:p>
      <w:pPr>
        <w:pStyle w:val="FirstParagraph"/>
      </w:pPr>
      <w:r>
        <w:rPr>
          <w:bCs/>
          <w:b/>
        </w:rPr>
        <w:t xml:space="preserve">Primary Venue:</w:t>
      </w:r>
      <w:r>
        <w:t xml:space="preserve"> </w:t>
      </w:r>
      <w:r>
        <w:t xml:space="preserve">Kuwait, Kuwait City</w:t>
      </w:r>
    </w:p>
    <w:p>
      <w:pPr>
        <w:pStyle w:val="BodyText"/>
      </w:pPr>
      <w:r>
        <w:rPr>
          <w:bCs/>
          <w:b/>
        </w:rPr>
        <w:t xml:space="preserve">Secondary Venue:</w:t>
      </w:r>
      <w:r>
        <w:t xml:space="preserve"> </w:t>
      </w:r>
      <w:r>
        <w:t xml:space="preserve">[If applicable]</w:t>
      </w:r>
    </w:p>
    <w:p>
      <w:pPr>
        <w:pStyle w:val="BodyText"/>
      </w:pPr>
      <w:r>
        <w:rPr>
          <w:bCs/>
          <w:b/>
        </w:rPr>
        <w:t xml:space="preserve">Service Period:</w:t>
      </w:r>
      <w:r>
        <w:t xml:space="preserve"> </w:t>
      </w:r>
      <w:r>
        <w:t xml:space="preserve">[Start Date] to [End Date]</w:t>
      </w:r>
    </w:p>
    <w:p>
      <w:pPr>
        <w:pStyle w:val="BodyText"/>
      </w:pPr>
      <w:r>
        <w:rPr>
          <w:bCs/>
          <w:b/>
        </w:rPr>
        <w:t xml:space="preserve">Estimated Hours:</w:t>
      </w:r>
      <w:r>
        <w:t xml:space="preserve"> </w:t>
      </w:r>
      <w:r>
        <w:t xml:space="preserve">120 hours total</w:t>
      </w:r>
    </w:p>
    <w:bookmarkEnd w:id="22"/>
    <w:p>
      <w:pPr>
        <w:pStyle w:val="BodyText"/>
      </w:pPr>
      <w:r>
        <w:t xml:space="preserve">2. Scope of Services – Translator Interpreter Engagement</w:t>
      </w:r>
    </w:p>
    <w:p>
      <w:pPr>
        <w:pStyle w:val="BodyText"/>
      </w:pPr>
      <w:r>
        <w:t xml:space="preserve">This</w:t>
      </w:r>
      <w:r>
        <w:t xml:space="preserve"> </w:t>
      </w:r>
      <w:r>
        <w:t xml:space="preserve">Quotation Estimate</w:t>
      </w:r>
      <w:r>
        <w:t xml:space="preserve"> </w:t>
      </w:r>
      <w:r>
        <w:t xml:space="preserve">outlines the comprehensive professional services to be provided by a certified</w:t>
      </w:r>
      <w:r>
        <w:t xml:space="preserve"> </w:t>
      </w:r>
      <w:r>
        <w:t xml:space="preserve">Translator Interpreter</w:t>
      </w:r>
      <w:r>
        <w:t xml:space="preserve"> </w:t>
      </w:r>
      <w:r>
        <w:t xml:space="preserve">operating within the jurisdiction of</w:t>
      </w:r>
      <w:r>
        <w:t xml:space="preserve"> </w:t>
      </w:r>
      <w:r>
        <w:t xml:space="preserve">Kuwait, Kuwait City</w:t>
      </w:r>
      <w:r>
        <w:t xml:space="preserve">. The engagement covers both written translation and real-time oral interpretation across multiple professional settings, including but not limited to corporate board meetings, legal proceedings, medical consultations, technical project briefings, and government regulatory submissions.</w:t>
      </w:r>
    </w:p>
    <w:p>
      <w:pPr>
        <w:pStyle w:val="BodyText"/>
      </w:pPr>
      <w:r>
        <w:t xml:space="preserve">The</w:t>
      </w:r>
      <w:r>
        <w:t xml:space="preserve"> </w:t>
      </w:r>
      <w:r>
        <w:t xml:space="preserve">Translator Interpreter</w:t>
      </w:r>
      <w:r>
        <w:t xml:space="preserve"> </w:t>
      </w:r>
      <w:r>
        <w:t xml:space="preserve">assigned to this project holds a minimum of ten (10) years of documented experience serving multilingual clients in the Kuwaiti market. All services will be delivered in accordance with the professional standards established by the Kuwaiti Ministry of Commerce and Industry and the International Organization for Standardization (ISO 17100 for translation and ISO 2382 for interpretation). The</w:t>
      </w:r>
      <w:r>
        <w:t xml:space="preserve"> </w:t>
      </w:r>
      <w:r>
        <w:t xml:space="preserve">Quotation Estimate</w:t>
      </w:r>
      <w:r>
        <w:t xml:space="preserve"> </w:t>
      </w:r>
      <w:r>
        <w:t xml:space="preserve">reflects rates that are competitive within the</w:t>
      </w:r>
      <w:r>
        <w:t xml:space="preserve"> </w:t>
      </w:r>
      <w:r>
        <w:t xml:space="preserve">Kuwait, Kuwait City</w:t>
      </w:r>
      <w:r>
        <w:t xml:space="preserve"> </w:t>
      </w:r>
      <w:r>
        <w:t xml:space="preserve">professional services market while guaranteeing the highest quality linguistic output.</w:t>
      </w:r>
    </w:p>
    <w:p>
      <w:pPr>
        <w:pStyle w:val="BodyText"/>
      </w:pPr>
      <w:r>
        <w:t xml:space="preserve">3. Detailed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Rate (KWD)</w:t>
            </w:r>
          </w:p>
        </w:tc>
        <w:tc>
          <w:tcPr/>
          <w:p>
            <w:pPr>
              <w:pStyle w:val="Compact"/>
              <w:jc w:val="left"/>
            </w:pPr>
            <w:r>
              <w:t xml:space="preserve">Quantity</w:t>
            </w:r>
          </w:p>
        </w:tc>
        <w:tc>
          <w:tcPr/>
          <w:p>
            <w:pPr>
              <w:pStyle w:val="Compact"/>
              <w:jc w:val="left"/>
            </w:pPr>
            <w:r>
              <w:t xml:space="preserve">Subtotal (KWD)</w:t>
            </w:r>
          </w:p>
        </w:tc>
      </w:tr>
      <w:tr>
        <w:tc>
          <w:tcPr/>
          <w:p>
            <w:pPr>
              <w:pStyle w:val="Compact"/>
              <w:jc w:val="left"/>
            </w:pPr>
            <w:r>
              <w:t xml:space="preserve">Simultaneous Interpretation</w:t>
            </w:r>
          </w:p>
        </w:tc>
        <w:tc>
          <w:tcPr/>
          <w:p>
            <w:pPr>
              <w:pStyle w:val="Compact"/>
              <w:jc w:val="left"/>
            </w:pPr>
            <w:r>
              <w:t xml:space="preserve">Real-time oral interpretation (Arabic ↔ English) for conferences and board meetings in Kuwait, Kuwait City</w:t>
            </w:r>
          </w:p>
        </w:tc>
        <w:tc>
          <w:tcPr/>
          <w:p>
            <w:pPr>
              <w:pStyle w:val="Compact"/>
              <w:jc w:val="left"/>
            </w:pPr>
            <w:r>
              <w:t xml:space="preserve">45.00 / hr</w:t>
            </w:r>
          </w:p>
        </w:tc>
        <w:tc>
          <w:tcPr/>
          <w:p>
            <w:pPr>
              <w:pStyle w:val="Compact"/>
              <w:jc w:val="left"/>
            </w:pPr>
            <w:r>
              <w:t xml:space="preserve">40 hrs</w:t>
            </w:r>
          </w:p>
        </w:tc>
        <w:tc>
          <w:tcPr/>
          <w:p>
            <w:pPr>
              <w:pStyle w:val="Compact"/>
              <w:jc w:val="left"/>
            </w:pPr>
            <w:r>
              <w:t xml:space="preserve">1,800.00</w:t>
            </w:r>
          </w:p>
        </w:tc>
      </w:tr>
      <w:tr>
        <w:tc>
          <w:tcPr/>
          <w:p>
            <w:pPr>
              <w:pStyle w:val="Compact"/>
              <w:jc w:val="left"/>
            </w:pPr>
            <w:r>
              <w:t xml:space="preserve">Consecutive Interpretation</w:t>
            </w:r>
          </w:p>
        </w:tc>
        <w:tc>
          <w:tcPr/>
          <w:p>
            <w:pPr>
              <w:pStyle w:val="Compact"/>
              <w:jc w:val="left"/>
            </w:pPr>
            <w:r>
              <w:t xml:space="preserve">Segment-by-segment interpretation for legal and medical sessions</w:t>
            </w:r>
          </w:p>
        </w:tc>
        <w:tc>
          <w:tcPr/>
          <w:p>
            <w:pPr>
              <w:pStyle w:val="Compact"/>
              <w:jc w:val="left"/>
            </w:pPr>
            <w:r>
              <w:t xml:space="preserve">38.00 / hr</w:t>
            </w:r>
          </w:p>
        </w:tc>
        <w:tc>
          <w:tcPr/>
          <w:p>
            <w:pPr>
              <w:pStyle w:val="Compact"/>
              <w:jc w:val="left"/>
            </w:pPr>
            <w:r>
              <w:t xml:space="preserve">30 hrs</w:t>
            </w:r>
          </w:p>
        </w:tc>
        <w:tc>
          <w:tcPr/>
          <w:p>
            <w:pPr>
              <w:pStyle w:val="Compact"/>
              <w:jc w:val="left"/>
            </w:pPr>
            <w:r>
              <w:t xml:space="preserve">1,140.00</w:t>
            </w:r>
          </w:p>
        </w:tc>
      </w:tr>
      <w:tr>
        <w:tc>
          <w:tcPr/>
          <w:p>
            <w:pPr>
              <w:pStyle w:val="Compact"/>
              <w:jc w:val="left"/>
            </w:pPr>
            <w:r>
              <w:t xml:space="preserve">Document Translation</w:t>
            </w:r>
          </w:p>
        </w:tc>
        <w:tc>
          <w:tcPr/>
          <w:p>
            <w:pPr>
              <w:pStyle w:val="Compact"/>
              <w:jc w:val="left"/>
            </w:pPr>
            <w:r>
              <w:t xml:space="preserve">Written translation of contracts, reports, and technical manuals (Arabic to English and vice versa)</w:t>
            </w:r>
          </w:p>
        </w:tc>
        <w:tc>
          <w:tcPr/>
          <w:p>
            <w:pPr>
              <w:pStyle w:val="Compact"/>
              <w:jc w:val="left"/>
            </w:pPr>
            <w:r>
              <w:t xml:space="preserve">12.00 / page</w:t>
            </w:r>
          </w:p>
        </w:tc>
        <w:tc>
          <w:tcPr/>
          <w:p>
            <w:pPr>
              <w:pStyle w:val="Compact"/>
              <w:jc w:val="left"/>
            </w:pPr>
            <w:r>
              <w:t xml:space="preserve">200 pages</w:t>
            </w:r>
          </w:p>
        </w:tc>
        <w:tc>
          <w:tcPr/>
          <w:p>
            <w:pPr>
              <w:pStyle w:val="Compact"/>
              <w:jc w:val="left"/>
            </w:pPr>
            <w:r>
              <w:t xml:space="preserve">2,400.00</w:t>
            </w:r>
          </w:p>
        </w:tc>
      </w:tr>
      <w:tr>
        <w:tc>
          <w:tcPr/>
          <w:p>
            <w:pPr>
              <w:pStyle w:val="Compact"/>
              <w:jc w:val="left"/>
            </w:pPr>
            <w:r>
              <w:t xml:space="preserve">On-Site Interpreter Support</w:t>
            </w:r>
          </w:p>
        </w:tc>
        <w:tc>
          <w:tcPr/>
          <w:p>
            <w:pPr>
              <w:pStyle w:val="Compact"/>
              <w:jc w:val="left"/>
            </w:pPr>
            <w:r>
              <w:t xml:space="preserve">Dedicated Translator Interpreter presence at client offices in Kuwait, Kuwait City for daily operational needs</w:t>
            </w:r>
          </w:p>
        </w:tc>
        <w:tc>
          <w:tcPr/>
          <w:p>
            <w:pPr>
              <w:pStyle w:val="Compact"/>
              <w:jc w:val="left"/>
            </w:pPr>
            <w:r>
              <w:t xml:space="preserve">35.00 / hr</w:t>
            </w:r>
          </w:p>
        </w:tc>
        <w:tc>
          <w:tcPr/>
          <w:p>
            <w:pPr>
              <w:pStyle w:val="Compact"/>
              <w:jc w:val="left"/>
            </w:pPr>
            <w:r>
              <w:t xml:space="preserve">30 hrs</w:t>
            </w:r>
          </w:p>
        </w:tc>
        <w:tc>
          <w:tcPr/>
          <w:p>
            <w:pPr>
              <w:pStyle w:val="Compact"/>
              <w:jc w:val="left"/>
            </w:pPr>
            <w:r>
              <w:t xml:space="preserve">1,050.00</w:t>
            </w:r>
          </w:p>
        </w:tc>
      </w:tr>
      <w:tr>
        <w:tc>
          <w:tcPr/>
          <w:p>
            <w:pPr>
              <w:pStyle w:val="Compact"/>
              <w:jc w:val="left"/>
            </w:pPr>
            <w:r>
              <w:t xml:space="preserve">Remote / Telephonic Interpretation</w:t>
            </w:r>
          </w:p>
        </w:tc>
        <w:tc>
          <w:tcPr/>
          <w:p>
            <w:pPr>
              <w:pStyle w:val="Compact"/>
              <w:jc w:val="left"/>
            </w:pPr>
            <w:r>
              <w:t xml:space="preserve">Video-conference and phone-based interpretation services</w:t>
            </w:r>
          </w:p>
        </w:tc>
        <w:tc>
          <w:tcPr/>
          <w:p>
            <w:pPr>
              <w:pStyle w:val="Compact"/>
              <w:jc w:val="left"/>
            </w:pPr>
            <w:r>
              <w:t xml:space="preserve">30.00 / hr</w:t>
            </w:r>
          </w:p>
        </w:tc>
        <w:tc>
          <w:tcPr/>
          <w:p>
            <w:pPr>
              <w:pStyle w:val="Compact"/>
              <w:jc w:val="left"/>
            </w:pPr>
            <w:r>
              <w:t xml:space="preserve">20 hrs</w:t>
            </w:r>
          </w:p>
        </w:tc>
        <w:tc>
          <w:tcPr/>
          <w:p>
            <w:pPr>
              <w:pStyle w:val="Compact"/>
              <w:jc w:val="left"/>
            </w:pPr>
            <w:r>
              <w:t xml:space="preserve">600.00</w:t>
            </w:r>
          </w:p>
        </w:tc>
      </w:tr>
      <w:tr>
        <w:tc>
          <w:tcPr/>
          <w:p>
            <w:pPr>
              <w:pStyle w:val="Compact"/>
              <w:jc w:val="left"/>
            </w:pPr>
            <w:r>
              <w:t xml:space="preserve">Urgent / After-Hours Service</w:t>
            </w:r>
          </w:p>
        </w:tc>
        <w:tc>
          <w:tcPr/>
          <w:p>
            <w:pPr>
              <w:pStyle w:val="Compact"/>
              <w:jc w:val="left"/>
            </w:pPr>
            <w:r>
              <w:t xml:space="preserve">Emergency Translator Interpreter availability outside standard business hours (18:00–06:00 KWT)</w:t>
            </w:r>
          </w:p>
        </w:tc>
        <w:tc>
          <w:tcPr/>
          <w:p>
            <w:pPr>
              <w:pStyle w:val="Compact"/>
              <w:jc w:val="left"/>
            </w:pPr>
            <w:r>
              <w:t xml:space="preserve">55.00 / hr</w:t>
            </w:r>
          </w:p>
        </w:tc>
        <w:tc>
          <w:tcPr/>
          <w:p>
            <w:pPr>
              <w:pStyle w:val="Compact"/>
              <w:jc w:val="left"/>
            </w:pPr>
            <w:r>
              <w:t xml:space="preserve">10 hrs</w:t>
            </w:r>
          </w:p>
        </w:tc>
        <w:tc>
          <w:tcPr/>
          <w:p>
            <w:pPr>
              <w:pStyle w:val="Compact"/>
              <w:jc w:val="left"/>
            </w:pPr>
            <w:r>
              <w:t xml:space="preserve">550.00</w:t>
            </w:r>
          </w:p>
        </w:tc>
      </w:tr>
      <w:tr>
        <w:tc>
          <w:tcPr/>
          <w:p>
            <w:pPr>
              <w:pStyle w:val="Compact"/>
              <w:jc w:val="left"/>
            </w:pPr>
            <w:r>
              <w:t xml:space="preserve">Travel &amp; Logistics</w:t>
            </w:r>
          </w:p>
        </w:tc>
        <w:tc>
          <w:tcPr/>
          <w:p>
            <w:pPr>
              <w:pStyle w:val="Compact"/>
              <w:jc w:val="left"/>
            </w:pPr>
            <w:r>
              <w:t xml:space="preserve">Local transportation within Kuwait, Kuwait City and surrounding governorates</w:t>
            </w:r>
          </w:p>
        </w:tc>
        <w:tc>
          <w:tcPr/>
          <w:p>
            <w:pPr>
              <w:pStyle w:val="Compact"/>
              <w:jc w:val="left"/>
            </w:pPr>
            <w:r>
              <w:t xml:space="preserve">Flat</w:t>
            </w:r>
          </w:p>
        </w:tc>
        <w:tc>
          <w:tcPr/>
          <w:p>
            <w:pPr>
              <w:pStyle w:val="Compact"/>
              <w:jc w:val="left"/>
            </w:pPr>
            <w:r>
              <w:t xml:space="preserve">1</w:t>
            </w:r>
          </w:p>
        </w:tc>
        <w:tc>
          <w:tcPr/>
          <w:p>
            <w:pPr>
              <w:pStyle w:val="Compact"/>
              <w:jc w:val="left"/>
            </w:pPr>
            <w:r>
              <w:t xml:space="preserve">350.00</w:t>
            </w:r>
          </w:p>
        </w:tc>
      </w:tr>
      <w:tr>
        <w:tc>
          <w:tcPr>
            <w:gridSpan w:val="4"/>
          </w:tcPr>
          <w:p>
            <w:pPr>
              <w:pStyle w:val="Compact"/>
              <w:jc w:val="left"/>
            </w:pPr>
            <w:r>
              <w:rPr>
                <w:bCs/>
                <w:b/>
              </w:rPr>
              <w:t xml:space="preserve">TOTAL ESTIMATED COST (KWD)</w:t>
            </w:r>
          </w:p>
        </w:tc>
        <w:tc>
          <w:tcPr/>
          <w:p>
            <w:pPr>
              <w:pStyle w:val="Compact"/>
              <w:jc w:val="left"/>
            </w:pPr>
            <w:r>
              <w:rPr>
                <w:bCs/>
                <w:b/>
              </w:rPr>
              <w:t xml:space="preserve">7,890.00</w:t>
            </w:r>
          </w:p>
        </w:tc>
      </w:tr>
      <w:tr>
        <w:tc>
          <w:tcPr>
            <w:gridSpan w:val="4"/>
          </w:tcPr>
          <w:p>
            <w:pPr>
              <w:pStyle w:val="Compact"/>
              <w:jc w:val="left"/>
            </w:pPr>
            <w:r>
              <w:t xml:space="preserve">VAT (13% – Kuwait VAT not applicable; shown for reference only)</w:t>
            </w:r>
          </w:p>
        </w:tc>
        <w:tc>
          <w:tcPr/>
          <w:p>
            <w:pPr>
              <w:pStyle w:val="Compact"/>
              <w:jc w:val="left"/>
            </w:pPr>
            <w:r>
              <w:t xml:space="preserve">0.00</w:t>
            </w:r>
          </w:p>
        </w:tc>
      </w:tr>
      <w:tr>
        <w:tc>
          <w:tcPr>
            <w:gridSpan w:val="4"/>
          </w:tcPr>
          <w:p>
            <w:pPr>
              <w:pStyle w:val="Compact"/>
              <w:jc w:val="left"/>
            </w:pPr>
            <w:r>
              <w:rPr>
                <w:bCs/>
                <w:b/>
              </w:rPr>
              <w:t xml:space="preserve">GRAND TOTAL (KWD)</w:t>
            </w:r>
          </w:p>
        </w:tc>
        <w:tc>
          <w:tcPr/>
          <w:p>
            <w:pPr>
              <w:pStyle w:val="Compact"/>
              <w:jc w:val="left"/>
            </w:pPr>
            <w:r>
              <w:rPr>
                <w:bCs/>
                <w:b/>
              </w:rPr>
              <w:t xml:space="preserve">7,890.00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rates may be subject to revision based on market conditions in</w:t>
      </w:r>
      <w:r>
        <w:t xml:space="preserve"> </w:t>
      </w:r>
      <w:r>
        <w:t xml:space="preserve">Kuwait, Kuwait City</w:t>
      </w:r>
      <w:r>
        <w:t xml:space="preserve">.</w:t>
      </w:r>
    </w:p>
    <w:p>
      <w:pPr>
        <w:numPr>
          <w:ilvl w:val="0"/>
          <w:numId w:val="1001"/>
        </w:numPr>
        <w:pStyle w:val="Compact"/>
      </w:pPr>
      <w:r>
        <w:t xml:space="preserve">Payment terms: 50% advance payment upon acceptance of this</w:t>
      </w:r>
      <w:r>
        <w:t xml:space="preserve"> </w:t>
      </w:r>
      <w:r>
        <w:t xml:space="preserve">Quotation Estimate</w:t>
      </w:r>
      <w:r>
        <w:t xml:space="preserve">; 50% upon completion of all services. Payment to be made via bank transfer to the account of Gulf Linguistic Solutions LLC, Kuwait, Kuwait City.</w:t>
      </w:r>
    </w:p>
    <w:p>
      <w:pPr>
        <w:numPr>
          <w:ilvl w:val="0"/>
          <w:numId w:val="1001"/>
        </w:numPr>
        <w:pStyle w:val="Compact"/>
      </w:pPr>
      <w:r>
        <w:t xml:space="preserve">The</w:t>
      </w:r>
      <w:r>
        <w:t xml:space="preserve"> </w:t>
      </w:r>
      <w:r>
        <w:t xml:space="preserve">Translator Interpreter</w:t>
      </w:r>
      <w:r>
        <w:t xml:space="preserve"> </w:t>
      </w:r>
      <w:r>
        <w:t xml:space="preserve">is bound by a strict Non-Disclosure Agreement (NDA) covering all client-confidential materials, meeting content, and proprietary information encountered during the engagement.</w:t>
      </w:r>
    </w:p>
    <w:p>
      <w:pPr>
        <w:numPr>
          <w:ilvl w:val="0"/>
          <w:numId w:val="1001"/>
        </w:numPr>
        <w:pStyle w:val="Compact"/>
      </w:pPr>
      <w:r>
        <w:t xml:space="preserve">All interpretation and translation deliverables remain the intellectual property of the client upon full payment. The</w:t>
      </w:r>
      <w:r>
        <w:t xml:space="preserve"> </w:t>
      </w:r>
      <w:r>
        <w:t xml:space="preserve">Translator Interpreter</w:t>
      </w:r>
      <w:r>
        <w:t xml:space="preserve"> </w:t>
      </w:r>
      <w:r>
        <w:t xml:space="preserve">shall not reproduce, distribute, or reference any translated content without written consent.</w:t>
      </w:r>
    </w:p>
    <w:p>
      <w:pPr>
        <w:numPr>
          <w:ilvl w:val="0"/>
          <w:numId w:val="1001"/>
        </w:numPr>
        <w:pStyle w:val="Compact"/>
      </w:pPr>
      <w:r>
        <w:t xml:space="preserve">Cancellations must be communicated at least 48 hours in advance. Cancellations within 24 hours will incur a 50% fee of the scheduled session cost.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 separate Service Agreement will be executed prior to the commencement of work.</w:t>
      </w:r>
    </w:p>
    <w:p>
      <w:pPr>
        <w:numPr>
          <w:ilvl w:val="0"/>
          <w:numId w:val="1001"/>
        </w:numPr>
        <w:pStyle w:val="Compact"/>
      </w:pPr>
      <w:r>
        <w:t xml:space="preserve">All services will be performed in compliance with the labor laws and professional regulations of the State of Kuwait, with the primary operational base in</w:t>
      </w:r>
      <w:r>
        <w:t xml:space="preserve"> </w:t>
      </w:r>
      <w:r>
        <w:t xml:space="preserve">Kuwait, Kuwait City</w:t>
      </w:r>
      <w:r>
        <w:t xml:space="preserve">.</w:t>
      </w:r>
    </w:p>
    <w:p>
      <w:pPr>
        <w:numPr>
          <w:ilvl w:val="0"/>
          <w:numId w:val="1001"/>
        </w:numPr>
        <w:pStyle w:val="Compact"/>
      </w:pPr>
      <w:r>
        <w:t xml:space="preserve">The</w:t>
      </w:r>
      <w:r>
        <w:t xml:space="preserve"> </w:t>
      </w:r>
      <w:r>
        <w:t xml:space="preserve">Translator Interpreter</w:t>
      </w:r>
      <w:r>
        <w:t xml:space="preserve"> </w:t>
      </w:r>
      <w:r>
        <w:t xml:space="preserve">reserves the right to decline assignments involving content that is illegal, unethical, or contrary to Kuwaiti public order and morals.</w:t>
      </w:r>
    </w:p>
    <w:p>
      <w:pPr>
        <w:pStyle w:val="FirstParagraph"/>
      </w:pPr>
      <w:r>
        <w:t xml:space="preserve">5. Acceptance and Authorization</w:t>
      </w:r>
    </w:p>
    <w:p>
      <w:pPr>
        <w:pStyle w:val="BodyText"/>
      </w:pPr>
      <w:r>
        <w:t xml:space="preserve">By signing below, the client acknowledges receipt and acceptance of this</w:t>
      </w:r>
      <w:r>
        <w:t xml:space="preserve"> </w:t>
      </w:r>
      <w:r>
        <w:t xml:space="preserve">Quotation Estimate</w:t>
      </w:r>
      <w:r>
        <w:t xml:space="preserve"> </w:t>
      </w:r>
      <w:r>
        <w:t xml:space="preserve">for</w:t>
      </w:r>
      <w:r>
        <w:t xml:space="preserve"> </w:t>
      </w:r>
      <w:r>
        <w:t xml:space="preserve">Translator Interpreter</w:t>
      </w:r>
      <w:r>
        <w:t xml:space="preserve"> </w:t>
      </w:r>
      <w:r>
        <w:t xml:space="preserve">services to be rendered in</w:t>
      </w:r>
      <w:r>
        <w:t xml:space="preserve"> </w:t>
      </w:r>
      <w:r>
        <w:t xml:space="preserve">Kuwait, Kuwait City</w:t>
      </w:r>
      <w:r>
        <w:t xml:space="preserve">. The undersigned authorizes Gulf Linguistic Solutions LLC to proceed with the engagement as described herein.</w:t>
      </w:r>
    </w:p>
    <w:p>
      <w:pPr>
        <w:pStyle w:val="BodyText"/>
      </w:pPr>
      <w:r>
        <w:rPr>
          <w:bCs/>
          <w:b/>
        </w:rPr>
        <w:t xml:space="preserve">For the Client</w:t>
      </w:r>
      <w:r>
        <w:br/>
      </w:r>
      <w:r>
        <w:t xml:space="preserve">Name: ________________________</w:t>
      </w:r>
      <w:r>
        <w:br/>
      </w:r>
      <w:r>
        <w:t xml:space="preserve">Title: ________________________</w:t>
      </w:r>
      <w:r>
        <w:br/>
      </w:r>
      <w:r>
        <w:t xml:space="preserve">Date: ________________________</w:t>
      </w:r>
    </w:p>
    <w:p>
      <w:pPr>
        <w:pStyle w:val="BodyText"/>
      </w:pPr>
      <w:r>
        <w:rPr>
          <w:bCs/>
          <w:b/>
        </w:rPr>
        <w:t xml:space="preserve">For Gulf Linguistic Solutions LLC</w:t>
      </w:r>
      <w:r>
        <w:br/>
      </w:r>
      <w:r>
        <w:t xml:space="preserve">Name: ________________________</w:t>
      </w:r>
      <w:r>
        <w:br/>
      </w:r>
      <w:r>
        <w:t xml:space="preserve">Title: ________________________</w:t>
      </w:r>
      <w:r>
        <w:br/>
      </w:r>
      <w:r>
        <w:t xml:space="preserve">Date: ________________________</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a good-faith projection of costs based on the scope of work described. Actual charges may vary if the scope of</w:t>
      </w:r>
      <w:r>
        <w:t xml:space="preserve"> </w:t>
      </w:r>
      <w:r>
        <w:t xml:space="preserve">Translator Interpreter</w:t>
      </w:r>
      <w:r>
        <w:t xml:space="preserve"> </w:t>
      </w:r>
      <w:r>
        <w:t xml:space="preserve">services is expanded or modified after the initial agreement. All rates are quoted in Kuwaiti Dinars (KWD) and are exclusive of any applicable government levies. For the most current pricing and availability of</w:t>
      </w:r>
      <w:r>
        <w:t xml:space="preserve"> </w:t>
      </w:r>
      <w:r>
        <w:t xml:space="preserve">Translator Interpreter</w:t>
      </w:r>
      <w:r>
        <w:t xml:space="preserve"> </w:t>
      </w:r>
      <w:r>
        <w:t xml:space="preserve">professionals in</w:t>
      </w:r>
      <w:r>
        <w:t xml:space="preserve"> </w:t>
      </w:r>
      <w:r>
        <w:t xml:space="preserve">Kuwait, Kuwait City</w:t>
      </w:r>
      <w:r>
        <w:t xml:space="preserve">, please contact our office directly.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Kuwait Kuwait City</dc:title>
  <dc:creator/>
  <dc:language>en</dc:language>
  <cp:keywords/>
  <dcterms:created xsi:type="dcterms:W3CDTF">2026-10-10T01:17:16Z</dcterms:created>
  <dcterms:modified xsi:type="dcterms:W3CDTF">2026-10-10T01:17:16Z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