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Translator Interpreter Services — New Zealand Wellington</w:t>
      </w:r>
    </w:p>
    <w:p>
      <w:pPr>
        <w:pStyle w:val="BodyText"/>
      </w:pPr>
      <w:r>
        <w:t xml:space="preserve">Document Reference: QE-WLG-2025-0472 | Date Issued: 15 June 2025</w:t>
      </w:r>
    </w:p>
    <w:bookmarkEnd w:id="20"/>
    <w:p>
      <w:pPr>
        <w:pStyle w:val="BodyText"/>
      </w:pPr>
      <w:r>
        <w:rPr>
          <w:bCs/>
          <w:b/>
        </w:rPr>
        <w:t xml:space="preserve">Provider:</w:t>
      </w:r>
      <w:r>
        <w:t xml:space="preserve"> </w:t>
      </w:r>
      <w:r>
        <w:t xml:space="preserve">Pacific Linguistic Solutions Ltd.</w:t>
      </w:r>
      <w:r>
        <w:br/>
      </w:r>
      <w:r>
        <w:t xml:space="preserve">142 Lambton Quay, Te Aro</w:t>
      </w:r>
      <w:r>
        <w:br/>
      </w:r>
      <w:r>
        <w:t xml:space="preserve">Wellington 6011, New Zealand</w:t>
      </w:r>
      <w:r>
        <w:br/>
      </w:r>
      <w:r>
        <w:t xml:space="preserve">Phone: +64 4 382 7741</w:t>
      </w:r>
      <w:r>
        <w:br/>
      </w:r>
      <w:r>
        <w:t xml:space="preserve">Email: quotes@pacificlinguistic.co.nz</w:t>
      </w:r>
      <w:r>
        <w:br/>
      </w:r>
      <w:r>
        <w:t xml:space="preserve">NZBN: 9429047812365</w:t>
      </w:r>
    </w:p>
    <w:p>
      <w:pPr>
        <w:pStyle w:val="BodyText"/>
      </w:pPr>
      <w:r>
        <w:rPr>
          <w:bCs/>
          <w:b/>
        </w:rPr>
        <w:t xml:space="preserve">Prepared For:</w:t>
      </w:r>
      <w:r>
        <w:br/>
      </w:r>
      <w:r>
        <w:t xml:space="preserve">[Client Name / Organisation]</w:t>
      </w:r>
      <w:r>
        <w:br/>
      </w:r>
      <w:r>
        <w:t xml:space="preserve">[Client Address]</w:t>
      </w:r>
      <w:r>
        <w:br/>
      </w:r>
      <w:r>
        <w:t xml:space="preserve">Wellington, New Zealand</w:t>
      </w:r>
      <w:r>
        <w:br/>
      </w:r>
      <w:r>
        <w:t xml:space="preserve">Contact: [Client Contact Person]</w:t>
      </w:r>
      <w:r>
        <w:br/>
      </w:r>
      <w:r>
        <w:t xml:space="preserve">Email: [Client Email]</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has been prepared by Pacific Linguistic Solutions Ltd. to outline the professional</w:t>
      </w:r>
      <w:r>
        <w:t xml:space="preserve"> </w:t>
      </w:r>
      <w:r>
        <w:t xml:space="preserve">Translator Interpreter</w:t>
      </w:r>
      <w:r>
        <w:t xml:space="preserve"> </w:t>
      </w:r>
      <w:r>
        <w:t xml:space="preserve">services that will be delivered to the above-named client within the region of</w:t>
      </w:r>
      <w:r>
        <w:t xml:space="preserve"> </w:t>
      </w:r>
      <w:r>
        <w:t xml:space="preserve">New Zealand Wellington</w:t>
      </w:r>
      <w:r>
        <w:t xml:space="preserve">. Our firm specialises in providing certified, native-level language interpretation and translation support tailored to the unique multilingual needs of businesses, government agencies, healthcare providers, and legal entities operating in and around the Wellington Capital Region.</w:t>
      </w:r>
    </w:p>
    <w:p>
      <w:pPr>
        <w:pStyle w:val="BodyText"/>
      </w:pPr>
      <w:r>
        <w:t xml:space="preserve">The</w:t>
      </w:r>
      <w:r>
        <w:t xml:space="preserve"> </w:t>
      </w:r>
      <w:r>
        <w:t xml:space="preserve">Translator Interpreter</w:t>
      </w:r>
      <w:r>
        <w:t xml:space="preserve"> </w:t>
      </w:r>
      <w:r>
        <w:t xml:space="preserve">engagement described in this</w:t>
      </w:r>
      <w:r>
        <w:t xml:space="preserve"> </w:t>
      </w:r>
      <w:r>
        <w:t xml:space="preserve">Quotation Estimate</w:t>
      </w:r>
      <w:r>
        <w:t xml:space="preserve"> </w:t>
      </w:r>
      <w:r>
        <w:t xml:space="preserve">encompasses both consecutive and simultaneous interpretation, as well as written translation of documents, for a period of twelve (12) months commencing on 1 July 2025. All services will be rendered in and around</w:t>
      </w:r>
      <w:r>
        <w:t xml:space="preserve"> </w:t>
      </w:r>
      <w:r>
        <w:t xml:space="preserve">New Zealand Wellington</w:t>
      </w:r>
      <w:r>
        <w:t xml:space="preserve">, including the central business district, the Te Aro precinct, the Hutt Valley, and the Wairarapa corridor, unless otherwise agreed in writing.</w:t>
      </w:r>
    </w:p>
    <w:bookmarkEnd w:id="21"/>
    <w:bookmarkStart w:id="22" w:name="detailed-service-breakdown-and-pricing"/>
    <w:p>
      <w:pPr>
        <w:pStyle w:val="Heading2"/>
      </w:pPr>
      <w:r>
        <w:t xml:space="preserve">2. Detailed Service Breakdown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Rate (NZD)</w:t>
            </w:r>
          </w:p>
        </w:tc>
        <w:tc>
          <w:tcPr/>
          <w:p>
            <w:pPr>
              <w:pStyle w:val="Compact"/>
              <w:jc w:val="left"/>
            </w:pPr>
            <w:r>
              <w:t xml:space="preserve">Estimated Qty</w:t>
            </w:r>
          </w:p>
        </w:tc>
        <w:tc>
          <w:tcPr/>
          <w:p>
            <w:pPr>
              <w:pStyle w:val="Compact"/>
              <w:jc w:val="left"/>
            </w:pPr>
            <w:r>
              <w:t xml:space="preserve">Subtotal (NZD)</w:t>
            </w:r>
          </w:p>
        </w:tc>
      </w:tr>
      <w:tr>
        <w:tc>
          <w:tcPr/>
          <w:p>
            <w:pPr>
              <w:pStyle w:val="Compact"/>
              <w:jc w:val="left"/>
            </w:pPr>
            <w:r>
              <w:t xml:space="preserve">01</w:t>
            </w:r>
          </w:p>
        </w:tc>
        <w:tc>
          <w:tcPr/>
          <w:p>
            <w:pPr>
              <w:pStyle w:val="Compact"/>
              <w:jc w:val="left"/>
            </w:pPr>
            <w:r>
              <w:t xml:space="preserve">On-site Translator Interpreter (Consecutive) — Mâori / English</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40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On-site Translator Interpreter (Simultaneous) — Mandarin / English</w:t>
            </w:r>
          </w:p>
        </w:tc>
        <w:tc>
          <w:tcPr/>
          <w:p>
            <w:pPr>
              <w:pStyle w:val="Compact"/>
              <w:jc w:val="left"/>
            </w:pPr>
            <w:r>
              <w:t xml:space="preserve">Hour</w:t>
            </w:r>
          </w:p>
        </w:tc>
        <w:tc>
          <w:tcPr/>
          <w:p>
            <w:pPr>
              <w:pStyle w:val="Compact"/>
              <w:jc w:val="left"/>
            </w:pPr>
            <w:r>
              <w:t xml:space="preserve">225.00</w:t>
            </w:r>
          </w:p>
        </w:tc>
        <w:tc>
          <w:tcPr/>
          <w:p>
            <w:pPr>
              <w:pStyle w:val="Compact"/>
              <w:jc w:val="left"/>
            </w:pPr>
            <w:r>
              <w:t xml:space="preserve">24</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Remote Translator Interpreter (Video Conference) — Spanish / English</w:t>
            </w:r>
          </w:p>
        </w:tc>
        <w:tc>
          <w:tcPr/>
          <w:p>
            <w:pPr>
              <w:pStyle w:val="Compact"/>
              <w:jc w:val="left"/>
            </w:pPr>
            <w:r>
              <w:t xml:space="preserve">Hour</w:t>
            </w:r>
          </w:p>
        </w:tc>
        <w:tc>
          <w:tcPr/>
          <w:p>
            <w:pPr>
              <w:pStyle w:val="Compact"/>
              <w:jc w:val="left"/>
            </w:pPr>
            <w:r>
              <w:t xml:space="preserve">155.00</w:t>
            </w:r>
          </w:p>
        </w:tc>
        <w:tc>
          <w:tcPr/>
          <w:p>
            <w:pPr>
              <w:pStyle w:val="Compact"/>
              <w:jc w:val="left"/>
            </w:pPr>
            <w:r>
              <w:t xml:space="preserve">30</w:t>
            </w:r>
          </w:p>
        </w:tc>
        <w:tc>
          <w:tcPr/>
          <w:p>
            <w:pPr>
              <w:pStyle w:val="Compact"/>
              <w:jc w:val="left"/>
            </w:pPr>
            <w:r>
              <w:t xml:space="preserve">4,650.00</w:t>
            </w:r>
          </w:p>
        </w:tc>
      </w:tr>
      <w:tr>
        <w:tc>
          <w:tcPr/>
          <w:p>
            <w:pPr>
              <w:pStyle w:val="Compact"/>
              <w:jc w:val="left"/>
            </w:pPr>
            <w:r>
              <w:t xml:space="preserve">04</w:t>
            </w:r>
          </w:p>
        </w:tc>
        <w:tc>
          <w:tcPr/>
          <w:p>
            <w:pPr>
              <w:pStyle w:val="Compact"/>
              <w:jc w:val="left"/>
            </w:pPr>
            <w:r>
              <w:t xml:space="preserve">Document Translation (Written) — French / English</w:t>
            </w:r>
          </w:p>
        </w:tc>
        <w:tc>
          <w:tcPr/>
          <w:p>
            <w:pPr>
              <w:pStyle w:val="Compact"/>
              <w:jc w:val="left"/>
            </w:pPr>
            <w:r>
              <w:t xml:space="preserve">Page (300 words)</w:t>
            </w:r>
          </w:p>
        </w:tc>
        <w:tc>
          <w:tcPr/>
          <w:p>
            <w:pPr>
              <w:pStyle w:val="Compact"/>
              <w:jc w:val="left"/>
            </w:pPr>
            <w:r>
              <w:t xml:space="preserve">95.00</w:t>
            </w:r>
          </w:p>
        </w:tc>
        <w:tc>
          <w:tcPr/>
          <w:p>
            <w:pPr>
              <w:pStyle w:val="Compact"/>
              <w:jc w:val="left"/>
            </w:pPr>
            <w:r>
              <w:t xml:space="preserve">60</w:t>
            </w:r>
          </w:p>
        </w:tc>
        <w:tc>
          <w:tcPr/>
          <w:p>
            <w:pPr>
              <w:pStyle w:val="Compact"/>
              <w:jc w:val="left"/>
            </w:pPr>
            <w:r>
              <w:t xml:space="preserve">5,700.00</w:t>
            </w:r>
          </w:p>
        </w:tc>
      </w:tr>
      <w:tr>
        <w:tc>
          <w:tcPr/>
          <w:p>
            <w:pPr>
              <w:pStyle w:val="Compact"/>
              <w:jc w:val="left"/>
            </w:pPr>
            <w:r>
              <w:t xml:space="preserve">05</w:t>
            </w:r>
          </w:p>
        </w:tc>
        <w:tc>
          <w:tcPr/>
          <w:p>
            <w:pPr>
              <w:pStyle w:val="Compact"/>
              <w:jc w:val="left"/>
            </w:pPr>
            <w:r>
              <w:t xml:space="preserve">Legal / Court Translator Interpreter — Tongan / English</w:t>
            </w:r>
          </w:p>
        </w:tc>
        <w:tc>
          <w:tcPr/>
          <w:p>
            <w:pPr>
              <w:pStyle w:val="Compact"/>
              <w:jc w:val="left"/>
            </w:pPr>
            <w:r>
              <w:t xml:space="preserve">Hour</w:t>
            </w:r>
          </w:p>
        </w:tc>
        <w:tc>
          <w:tcPr/>
          <w:p>
            <w:pPr>
              <w:pStyle w:val="Compact"/>
              <w:jc w:val="left"/>
            </w:pPr>
            <w:r>
              <w:t xml:space="preserve">265.00</w:t>
            </w:r>
          </w:p>
        </w:tc>
        <w:tc>
          <w:tcPr/>
          <w:p>
            <w:pPr>
              <w:pStyle w:val="Compact"/>
              <w:jc w:val="left"/>
            </w:pPr>
            <w:r>
              <w:t xml:space="preserve">16</w:t>
            </w:r>
          </w:p>
        </w:tc>
        <w:tc>
          <w:tcPr/>
          <w:p>
            <w:pPr>
              <w:pStyle w:val="Compact"/>
              <w:jc w:val="left"/>
            </w:pPr>
            <w:r>
              <w:t xml:space="preserve">4,240.00</w:t>
            </w:r>
          </w:p>
        </w:tc>
      </w:tr>
      <w:tr>
        <w:tc>
          <w:tcPr/>
          <w:p>
            <w:pPr>
              <w:pStyle w:val="Compact"/>
              <w:jc w:val="left"/>
            </w:pPr>
            <w:r>
              <w:t xml:space="preserve">06</w:t>
            </w:r>
          </w:p>
        </w:tc>
        <w:tc>
          <w:tcPr/>
          <w:p>
            <w:pPr>
              <w:pStyle w:val="Compact"/>
              <w:jc w:val="left"/>
            </w:pPr>
            <w:r>
              <w:t xml:space="preserve">Medical / Healthcare Translator Interpreter — Vietnamese / English</w:t>
            </w:r>
          </w:p>
        </w:tc>
        <w:tc>
          <w:tcPr/>
          <w:p>
            <w:pPr>
              <w:pStyle w:val="Compact"/>
              <w:jc w:val="left"/>
            </w:pPr>
            <w:r>
              <w:t xml:space="preserve">Hour</w:t>
            </w:r>
          </w:p>
        </w:tc>
        <w:tc>
          <w:tcPr/>
          <w:p>
            <w:pPr>
              <w:pStyle w:val="Compact"/>
              <w:jc w:val="left"/>
            </w:pPr>
            <w:r>
              <w:t xml:space="preserve">210.00</w:t>
            </w:r>
          </w:p>
        </w:tc>
        <w:tc>
          <w:tcPr/>
          <w:p>
            <w:pPr>
              <w:pStyle w:val="Compact"/>
              <w:jc w:val="left"/>
            </w:pPr>
            <w:r>
              <w:t xml:space="preserve">20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Travel and Accommodation (within New Zealand Wellington region)</w:t>
            </w:r>
          </w:p>
        </w:tc>
        <w:tc>
          <w:tcPr/>
          <w:p>
            <w:pPr>
              <w:pStyle w:val="Compact"/>
              <w:jc w:val="left"/>
            </w:pPr>
            <w:r>
              <w:t xml:space="preserve">Flat</w:t>
            </w:r>
          </w:p>
        </w:tc>
        <w:tc>
          <w:tcPr/>
          <w:p>
            <w:pPr>
              <w:pStyle w:val="Compact"/>
              <w:jc w:val="left"/>
            </w:pPr>
            <w:r>
              <w:t xml:space="preserve">1.00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After-hours / Weekend Premium (15% surcharge)</w:t>
            </w:r>
          </w:p>
        </w:tc>
        <w:tc>
          <w:tcPr/>
          <w:p>
            <w:pPr>
              <w:pStyle w:val="Compact"/>
              <w:jc w:val="left"/>
            </w:pPr>
            <w:r>
              <w:t xml:space="preserve">Flat</w:t>
            </w:r>
          </w:p>
        </w:tc>
        <w:tc>
          <w:tcPr/>
          <w:p>
            <w:pPr>
              <w:pStyle w:val="Compact"/>
              <w:jc w:val="left"/>
            </w:pPr>
            <w:r>
              <w:t xml:space="preserve">1.00</w:t>
            </w:r>
          </w:p>
        </w:tc>
        <w:tc>
          <w:tcPr/>
          <w:p>
            <w:pPr>
              <w:pStyle w:val="Compact"/>
              <w:jc w:val="left"/>
            </w:pPr>
            <w:r>
              <w:t xml:space="preserve">1</w:t>
            </w:r>
          </w:p>
        </w:tc>
        <w:tc>
          <w:tcPr/>
          <w:p>
            <w:pPr>
              <w:pStyle w:val="Compact"/>
              <w:jc w:val="left"/>
            </w:pPr>
            <w:r>
              <w:t xml:space="preserve">1,850.00</w:t>
            </w:r>
          </w:p>
        </w:tc>
      </w:tr>
      <w:tr>
        <w:tc>
          <w:tcPr>
            <w:gridSpan w:val="5"/>
          </w:tcPr>
          <w:p>
            <w:pPr>
              <w:pStyle w:val="Compact"/>
              <w:jc w:val="left"/>
            </w:pPr>
            <w:r>
              <w:t xml:space="preserve">Subtotal (Excl. GST)</w:t>
            </w:r>
          </w:p>
        </w:tc>
        <w:tc>
          <w:tcPr/>
          <w:p>
            <w:pPr>
              <w:pStyle w:val="Compact"/>
              <w:jc w:val="left"/>
            </w:pPr>
            <w:r>
              <w:t xml:space="preserve">34,640.00</w:t>
            </w:r>
          </w:p>
        </w:tc>
      </w:tr>
      <w:tr>
        <w:tc>
          <w:tcPr>
            <w:gridSpan w:val="5"/>
          </w:tcPr>
          <w:p>
            <w:pPr>
              <w:pStyle w:val="Compact"/>
              <w:jc w:val="left"/>
            </w:pPr>
            <w:r>
              <w:t xml:space="preserve">GST (15%)</w:t>
            </w:r>
          </w:p>
        </w:tc>
        <w:tc>
          <w:tcPr/>
          <w:p>
            <w:pPr>
              <w:pStyle w:val="Compact"/>
              <w:jc w:val="left"/>
            </w:pPr>
            <w:r>
              <w:t xml:space="preserve">5,196.00</w:t>
            </w:r>
          </w:p>
        </w:tc>
      </w:tr>
      <w:tr>
        <w:tc>
          <w:tcPr>
            <w:gridSpan w:val="5"/>
          </w:tcPr>
          <w:p>
            <w:pPr>
              <w:pStyle w:val="Compact"/>
              <w:jc w:val="left"/>
            </w:pPr>
            <w:r>
              <w:t xml:space="preserve">TOTAL (Incl. GST)</w:t>
            </w:r>
          </w:p>
        </w:tc>
        <w:tc>
          <w:tcPr/>
          <w:p>
            <w:pPr>
              <w:pStyle w:val="Compact"/>
              <w:jc w:val="left"/>
            </w:pPr>
            <w:r>
              <w:t xml:space="preserve">39,836.00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rates may be subject to revision based on market conditions in</w:t>
      </w:r>
      <w:r>
        <w:t xml:space="preserve"> </w:t>
      </w:r>
      <w:r>
        <w:t xml:space="preserve">New Zealand Wellington</w:t>
      </w:r>
      <w:r>
        <w:t xml:space="preserve">.</w:t>
      </w:r>
    </w:p>
    <w:p>
      <w:pPr>
        <w:numPr>
          <w:ilvl w:val="0"/>
          <w:numId w:val="1001"/>
        </w:numPr>
        <w:pStyle w:val="Compact"/>
      </w:pPr>
      <w:r>
        <w:t xml:space="preserve">All</w:t>
      </w:r>
      <w:r>
        <w:t xml:space="preserve"> </w:t>
      </w:r>
      <w:r>
        <w:t xml:space="preserve">Translator Interpreter</w:t>
      </w:r>
      <w:r>
        <w:t xml:space="preserve"> </w:t>
      </w:r>
      <w:r>
        <w:t xml:space="preserve">professionals engaged under this estimate hold current certifications from the New Zealand Institute of Translators and Interpreters (NZITI) and meet the competency standards set by the Ministry of Business, Innovation and Employment (MBIE).</w:t>
      </w:r>
    </w:p>
    <w:p>
      <w:pPr>
        <w:numPr>
          <w:ilvl w:val="0"/>
          <w:numId w:val="1001"/>
        </w:numPr>
        <w:pStyle w:val="Compact"/>
      </w:pPr>
      <w:r>
        <w:t xml:space="preserve">Payment terms: 50% deposit upon acceptance of this</w:t>
      </w:r>
      <w:r>
        <w:t xml:space="preserve"> </w:t>
      </w:r>
      <w:r>
        <w:t xml:space="preserve">Quotation Estimate</w:t>
      </w:r>
      <w:r>
        <w:t xml:space="preserve">; the remaining 50% is due within fourteen (14) days of the completion of services or upon receipt of the final invoice, whichever occurs first.</w:t>
      </w:r>
    </w:p>
    <w:p>
      <w:pPr>
        <w:numPr>
          <w:ilvl w:val="0"/>
          <w:numId w:val="1001"/>
        </w:numPr>
        <w:pStyle w:val="Compact"/>
      </w:pPr>
      <w:r>
        <w:t xml:space="preserve">Cancellations made fewer than forty-eight (48) hours before a scheduled</w:t>
      </w:r>
      <w:r>
        <w:t xml:space="preserve"> </w:t>
      </w:r>
      <w:r>
        <w:t xml:space="preserve">Translator Interpreter</w:t>
      </w:r>
      <w:r>
        <w:t xml:space="preserve"> </w:t>
      </w:r>
      <w:r>
        <w:t xml:space="preserve">engagement will incur a 50% fee of the booked session. Cancellations within twenty-four (24) hours will incur the full session fee.</w:t>
      </w:r>
    </w:p>
    <w:p>
      <w:pPr>
        <w:numPr>
          <w:ilvl w:val="0"/>
          <w:numId w:val="1001"/>
        </w:numPr>
        <w:pStyle w:val="Compact"/>
      </w:pPr>
      <w:r>
        <w:t xml:space="preserve">All services will be conducted in strict compliance with the Privacy Act 2020 (New Zealand) and the client's internal data protection policies. Confidentiality agreements will be executed prior to the commencement of any</w:t>
      </w:r>
      <w:r>
        <w:t xml:space="preserve"> </w:t>
      </w:r>
      <w:r>
        <w:t xml:space="preserve">Translator Interpreter</w:t>
      </w:r>
      <w:r>
        <w:t xml:space="preserve"> </w:t>
      </w:r>
      <w:r>
        <w:t xml:space="preserve">assignment.</w:t>
      </w:r>
    </w:p>
    <w:p>
      <w:pPr>
        <w:numPr>
          <w:ilvl w:val="0"/>
          <w:numId w:val="1001"/>
        </w:numPr>
        <w:pStyle w:val="Compact"/>
      </w:pPr>
      <w:r>
        <w:t xml:space="preserve">Travel within the</w:t>
      </w:r>
      <w:r>
        <w:t xml:space="preserve"> </w:t>
      </w:r>
      <w:r>
        <w:t xml:space="preserve">New Zealand Wellington</w:t>
      </w:r>
      <w:r>
        <w:t xml:space="preserve"> </w:t>
      </w:r>
      <w:r>
        <w:t xml:space="preserve">metropolitan area (including Porirua, Lower Hutt, Upper Hutt, and the Wairarapa) is included in the quoted rates. Travel beyond a 50-kilometre radius from the Lambton Quay office will be billed at $2.50 per kilometre.</w:t>
      </w:r>
    </w:p>
    <w:p>
      <w:pPr>
        <w:numPr>
          <w:ilvl w:val="0"/>
          <w:numId w:val="1001"/>
        </w:numPr>
        <w:pStyle w:val="Compact"/>
      </w:pPr>
      <w:r>
        <w:t xml:space="preserve">Any additional languages, extended hours, or specialised subject-matter interpretation (e.g., engineering, pharmaceutical, financial) not listed in this</w:t>
      </w:r>
      <w:r>
        <w:t xml:space="preserve"> </w:t>
      </w:r>
      <w:r>
        <w:t xml:space="preserve">Quotation Estimate</w:t>
      </w:r>
      <w:r>
        <w:t xml:space="preserve"> </w:t>
      </w:r>
      <w:r>
        <w:t xml:space="preserve">will be subject to a separate written addendum and additional charges.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The final service agreement will be governed by the laws of New Zealand.</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provision of</w:t>
      </w:r>
      <w:r>
        <w:t xml:space="preserve"> </w:t>
      </w:r>
      <w:r>
        <w:t xml:space="preserve">Translator Interpreter</w:t>
      </w:r>
      <w:r>
        <w:t xml:space="preserve"> </w:t>
      </w:r>
      <w:r>
        <w:t xml:space="preserve">services in</w:t>
      </w:r>
      <w:r>
        <w:t xml:space="preserve"> </w:t>
      </w:r>
      <w:r>
        <w:t xml:space="preserve">New Zealand Wellington</w:t>
      </w:r>
      <w:r>
        <w:t xml:space="preserve">. The provider confirms that all listed professionals are available and qualified to deliver the services as described.</w:t>
      </w:r>
    </w:p>
    <w:p>
      <w:pPr>
        <w:pStyle w:val="BodyText"/>
      </w:pPr>
      <w:r>
        <w:rPr>
          <w:bCs/>
          <w:b/>
        </w:rPr>
        <w:t xml:space="preserve">For Pacific Linguistic Solutions Ltd.</w:t>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t xml:space="preserve">Pacific Linguistic Solutions Ltd. | 142 Lambton Quay, Te Aro, Wellington 6011, New Zealand | NZBN: 9429047812365</w:t>
      </w:r>
    </w:p>
    <w:p>
      <w:pPr>
        <w:pStyle w:val="BodyText"/>
      </w:pPr>
      <w:r>
        <w:t xml:space="preserve">This Quotation Estimate document is the property of Pacific Linguistic Solutions Ltd. and is intended solely for the named client. Unauthorised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New Zealand Wellington</dc:title>
  <dc:creator/>
  <dc:language>en</dc:language>
  <cp:keywords/>
  <dcterms:created xsi:type="dcterms:W3CDTF">2026-10-10T01:23:59Z</dcterms:created>
  <dcterms:modified xsi:type="dcterms:W3CDTF">2026-10-10T01:23:59Z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