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LinguaBridge Professional Services LLC</w:t>
      </w:r>
    </w:p>
    <w:p>
      <w:pPr>
        <w:pStyle w:val="BodyText"/>
      </w:pPr>
      <w:r>
        <w:t xml:space="preserve">Office 1204, Level 12, Doha Tower, West Bay, Doha, Qatar</w:t>
      </w:r>
    </w:p>
    <w:p>
      <w:pPr>
        <w:pStyle w:val="BodyText"/>
      </w:pPr>
      <w:r>
        <w:t xml:space="preserve">Tel: +974-4455-6677 | Email: quotations@linguabridge-qatar.com</w:t>
      </w:r>
    </w:p>
    <w:p>
      <w:pPr>
        <w:pStyle w:val="BodyText"/>
      </w:pPr>
      <w:r>
        <w:t xml:space="preserve">CR No: 123456 | VAT No: QV-789012345</w:t>
      </w:r>
    </w:p>
    <w:bookmarkEnd w:id="20"/>
    <w:p>
      <w:pPr>
        <w:pStyle w:val="BodyText"/>
      </w:pPr>
      <w:r>
        <w:rPr>
          <w:bCs/>
          <w:b/>
        </w:rPr>
        <w:t xml:space="preserve">Quotation Estimate No:</w:t>
      </w:r>
      <w:r>
        <w:t xml:space="preserve"> </w:t>
      </w:r>
      <w:r>
        <w:t xml:space="preserve">QTE-2025-QD-0847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Qatar Doha</w:t>
      </w:r>
    </w:p>
    <w:p>
      <w:pPr>
        <w:pStyle w:val="BodyText"/>
      </w:pPr>
      <w:r>
        <w:t xml:space="preserve">Client Information</w:t>
      </w:r>
    </w:p>
    <w:bookmarkStart w:id="21" w:name="prepared-for"/>
    <w:p>
      <w:pPr>
        <w:pStyle w:val="Heading3"/>
      </w:pPr>
      <w:r>
        <w:t xml:space="preserve">Prepared For</w:t>
      </w:r>
    </w:p>
    <w:p>
      <w:pPr>
        <w:pStyle w:val="FirstParagraph"/>
      </w:pPr>
      <w:r>
        <w:rPr>
          <w:bCs/>
          <w:b/>
        </w:rPr>
        <w:t xml:space="preserve">Company:</w:t>
      </w:r>
      <w:r>
        <w:t xml:space="preserve"> </w:t>
      </w:r>
      <w:r>
        <w:t xml:space="preserve">Al Rayyan Industrial Group WLL</w:t>
      </w:r>
    </w:p>
    <w:p>
      <w:pPr>
        <w:pStyle w:val="BodyText"/>
      </w:pPr>
      <w:r>
        <w:rPr>
          <w:bCs/>
          <w:b/>
        </w:rPr>
        <w:t xml:space="preserve">Contact Person:</w:t>
      </w:r>
      <w:r>
        <w:t xml:space="preserve"> </w:t>
      </w:r>
      <w:r>
        <w:t xml:space="preserve">Mr. Khalid Al-Mansoori</w:t>
      </w:r>
    </w:p>
    <w:p>
      <w:pPr>
        <w:pStyle w:val="BodyText"/>
      </w:pPr>
      <w:r>
        <w:rPr>
          <w:bCs/>
          <w:b/>
        </w:rPr>
        <w:t xml:space="preserve">Position:</w:t>
      </w:r>
      <w:r>
        <w:t xml:space="preserve"> </w:t>
      </w:r>
      <w:r>
        <w:t xml:space="preserve">Director of Operations</w:t>
      </w:r>
    </w:p>
    <w:p>
      <w:pPr>
        <w:pStyle w:val="BodyText"/>
      </w:pPr>
      <w:r>
        <w:rPr>
          <w:bCs/>
          <w:b/>
        </w:rPr>
        <w:t xml:space="preserve">Address:</w:t>
      </w:r>
      <w:r>
        <w:t xml:space="preserve"> </w:t>
      </w:r>
      <w:r>
        <w:t xml:space="preserve">Zone 39, Industrial Area, Doha, Qatar</w:t>
      </w:r>
    </w:p>
    <w:p>
      <w:pPr>
        <w:pStyle w:val="BodyText"/>
      </w:pPr>
      <w:r>
        <w:rPr>
          <w:bCs/>
          <w:b/>
        </w:rPr>
        <w:t xml:space="preserve">Email:</w:t>
      </w:r>
      <w:r>
        <w:t xml:space="preserve"> </w:t>
      </w:r>
      <w:r>
        <w:t xml:space="preserve">k.mansoori@alrayyan-industrial.com</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LinguaBridge Professional Services LLC</w:t>
      </w:r>
    </w:p>
    <w:p>
      <w:pPr>
        <w:pStyle w:val="BodyText"/>
      </w:pPr>
      <w:r>
        <w:rPr>
          <w:bCs/>
          <w:b/>
        </w:rPr>
        <w:t xml:space="preserve">Contact Person:</w:t>
      </w:r>
      <w:r>
        <w:t xml:space="preserve"> </w:t>
      </w:r>
      <w:r>
        <w:t xml:space="preserve">Ms. Sarah Al-Thani</w:t>
      </w:r>
    </w:p>
    <w:p>
      <w:pPr>
        <w:pStyle w:val="BodyText"/>
      </w:pPr>
      <w:r>
        <w:rPr>
          <w:bCs/>
          <w:b/>
        </w:rPr>
        <w:t xml:space="preserve">Position:</w:t>
      </w:r>
      <w:r>
        <w:t xml:space="preserve"> </w:t>
      </w:r>
      <w:r>
        <w:t xml:space="preserve">Senior Account Manager</w:t>
      </w:r>
    </w:p>
    <w:p>
      <w:pPr>
        <w:pStyle w:val="BodyText"/>
      </w:pPr>
      <w:r>
        <w:rPr>
          <w:bCs/>
          <w:b/>
        </w:rPr>
        <w:t xml:space="preserve">Address:</w:t>
      </w:r>
      <w:r>
        <w:t xml:space="preserve"> </w:t>
      </w:r>
      <w:r>
        <w:t xml:space="preserve">Doha Tower, West Bay, Doha, Qatar</w:t>
      </w:r>
    </w:p>
    <w:p>
      <w:pPr>
        <w:pStyle w:val="BodyText"/>
      </w:pPr>
      <w:r>
        <w:rPr>
          <w:bCs/>
          <w:b/>
        </w:rPr>
        <w:t xml:space="preserve">Email:</w:t>
      </w:r>
      <w:r>
        <w:t xml:space="preserve"> </w:t>
      </w:r>
      <w:r>
        <w:t xml:space="preserve">s.althani@linguabridge-qatar.com</w:t>
      </w:r>
    </w:p>
    <w:bookmarkEnd w:id="22"/>
    <w:p>
      <w:pPr>
        <w:pStyle w:val="BodyText"/>
      </w:pPr>
      <w:r>
        <w:t xml:space="preserve">Scope of Services – Translator Interpreter in Qatar Doha</w:t>
      </w:r>
    </w:p>
    <w:p>
      <w:pPr>
        <w:pStyle w:val="BodyText"/>
      </w:pPr>
      <w:r>
        <w:t xml:space="preserve">This</w:t>
      </w:r>
      <w:r>
        <w:t xml:space="preserve"> </w:t>
      </w:r>
      <w:r>
        <w:t xml:space="preserve">Quotation Estimate</w:t>
      </w:r>
      <w:r>
        <w:t xml:space="preserve"> </w:t>
      </w:r>
      <w:r>
        <w:t xml:space="preserve">is issued by LinguaBridge Professional Services LLC to provide comprehensive</w:t>
      </w:r>
      <w:r>
        <w:t xml:space="preserve"> </w:t>
      </w:r>
      <w:r>
        <w:t xml:space="preserve">Translator Interpreter</w:t>
      </w:r>
      <w:r>
        <w:t xml:space="preserve"> </w:t>
      </w:r>
      <w:r>
        <w:t xml:space="preserve">services for Al Rayyan Industrial Group WLL, to be delivered on-site and remotely within</w:t>
      </w:r>
      <w:r>
        <w:t xml:space="preserve"> </w:t>
      </w:r>
      <w:r>
        <w:t xml:space="preserve">Qatar Doha</w:t>
      </w:r>
      <w:r>
        <w:t xml:space="preserve"> </w:t>
      </w:r>
      <w:r>
        <w:t xml:space="preserve">and its surrounding areas. The services outlined below are designed to meet the client's requirements for multilingual communication support during the upcoming Q3 2025 operational meetings, international investor presentations, and regulatory compliance briefings scheduled between July and September 2025.</w:t>
      </w:r>
    </w:p>
    <w:p>
      <w:pPr>
        <w:pStyle w:val="BodyText"/>
      </w:pPr>
      <w:r>
        <w:t xml:space="preserve">Our</w:t>
      </w:r>
      <w:r>
        <w:t xml:space="preserve"> </w:t>
      </w:r>
      <w:r>
        <w:t xml:space="preserve">Translator Interpreter</w:t>
      </w:r>
      <w:r>
        <w:t xml:space="preserve"> </w:t>
      </w:r>
      <w:r>
        <w:t xml:space="preserve">team in</w:t>
      </w:r>
      <w:r>
        <w:t xml:space="preserve"> </w:t>
      </w:r>
      <w:r>
        <w:t xml:space="preserve">Qatar Doha</w:t>
      </w:r>
      <w:r>
        <w:t xml:space="preserve"> </w:t>
      </w:r>
      <w:r>
        <w:t xml:space="preserve">comprises certified professionals fluent in Arabic, English, French, Mandarin Chinese, and Hindi. All interpreters hold recognized credentials from the Qatar Translation and Interpretation Council and possess a minimum of five years of experience in corporate, legal, and technical translation environments specific to the Gulf region.</w:t>
      </w:r>
    </w:p>
    <w:p>
      <w:pPr>
        <w:pStyle w:val="BodyText"/>
      </w:pPr>
      <w:r>
        <w:t xml:space="preserve">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Language Pair</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Amount (QAR)</w:t>
            </w:r>
          </w:p>
        </w:tc>
        <w:tc>
          <w:tcPr/>
          <w:p>
            <w:pPr>
              <w:pStyle w:val="Compact"/>
              <w:jc w:val="left"/>
            </w:pPr>
            <w:r>
              <w:t xml:space="preserve">Mode</w:t>
            </w:r>
          </w:p>
        </w:tc>
      </w:tr>
      <w:tr>
        <w:tc>
          <w:tcPr/>
          <w:p>
            <w:pPr>
              <w:pStyle w:val="Compact"/>
              <w:jc w:val="left"/>
            </w:pPr>
            <w:r>
              <w:t xml:space="preserve">1</w:t>
            </w:r>
          </w:p>
        </w:tc>
        <w:tc>
          <w:tcPr/>
          <w:p>
            <w:pPr>
              <w:pStyle w:val="Compact"/>
              <w:jc w:val="left"/>
            </w:pPr>
            <w:r>
              <w:t xml:space="preserve">On-site Translator Interpreter for Board of Directors meetings (Qatar Doha, Al Rayyan HQ)</w:t>
            </w:r>
          </w:p>
        </w:tc>
        <w:tc>
          <w:tcPr/>
          <w:p>
            <w:pPr>
              <w:pStyle w:val="Compact"/>
              <w:jc w:val="left"/>
            </w:pPr>
            <w:r>
              <w:t xml:space="preserve">Arabic / English</w:t>
            </w:r>
          </w:p>
        </w:tc>
        <w:tc>
          <w:tcPr/>
          <w:p>
            <w:pPr>
              <w:pStyle w:val="Compact"/>
              <w:jc w:val="left"/>
            </w:pPr>
            <w:r>
              <w:t xml:space="preserve">8 hours/day x 10 days</w:t>
            </w:r>
          </w:p>
        </w:tc>
        <w:tc>
          <w:tcPr/>
          <w:p>
            <w:pPr>
              <w:pStyle w:val="Compact"/>
              <w:jc w:val="left"/>
            </w:pPr>
            <w:r>
              <w:t xml:space="preserve">1,200 / hr</w:t>
            </w:r>
          </w:p>
        </w:tc>
        <w:tc>
          <w:tcPr/>
          <w:p>
            <w:pPr>
              <w:pStyle w:val="Compact"/>
              <w:jc w:val="left"/>
            </w:pPr>
            <w:r>
              <w:t xml:space="preserve">96,000</w:t>
            </w:r>
          </w:p>
        </w:tc>
        <w:tc>
          <w:tcPr/>
          <w:p>
            <w:pPr>
              <w:pStyle w:val="Compact"/>
              <w:jc w:val="left"/>
            </w:pPr>
            <w:r>
              <w:t xml:space="preserve">On-site</w:t>
            </w:r>
          </w:p>
        </w:tc>
      </w:tr>
      <w:tr>
        <w:tc>
          <w:tcPr/>
          <w:p>
            <w:pPr>
              <w:pStyle w:val="Compact"/>
              <w:jc w:val="left"/>
            </w:pPr>
            <w:r>
              <w:t xml:space="preserve">2</w:t>
            </w:r>
          </w:p>
        </w:tc>
        <w:tc>
          <w:tcPr/>
          <w:p>
            <w:pPr>
              <w:pStyle w:val="Compact"/>
              <w:jc w:val="left"/>
            </w:pPr>
            <w:r>
              <w:t xml:space="preserve">Simultaneous Translator Interpreter for International Investor Conference (Doha Exhibition Centre)</w:t>
            </w:r>
          </w:p>
        </w:tc>
        <w:tc>
          <w:tcPr/>
          <w:p>
            <w:pPr>
              <w:pStyle w:val="Compact"/>
              <w:jc w:val="left"/>
            </w:pPr>
            <w:r>
              <w:t xml:space="preserve">English / Mandarin</w:t>
            </w:r>
          </w:p>
        </w:tc>
        <w:tc>
          <w:tcPr/>
          <w:p>
            <w:pPr>
              <w:pStyle w:val="Compact"/>
              <w:jc w:val="left"/>
            </w:pPr>
            <w:r>
              <w:t xml:space="preserve">6 hours x 3 days</w:t>
            </w:r>
          </w:p>
        </w:tc>
        <w:tc>
          <w:tcPr/>
          <w:p>
            <w:pPr>
              <w:pStyle w:val="Compact"/>
              <w:jc w:val="left"/>
            </w:pPr>
            <w:r>
              <w:t xml:space="preserve">1,500 / hr</w:t>
            </w:r>
          </w:p>
        </w:tc>
        <w:tc>
          <w:tcPr/>
          <w:p>
            <w:pPr>
              <w:pStyle w:val="Compact"/>
              <w:jc w:val="left"/>
            </w:pPr>
            <w:r>
              <w:t xml:space="preserve">27,000</w:t>
            </w:r>
          </w:p>
        </w:tc>
        <w:tc>
          <w:tcPr/>
          <w:p>
            <w:pPr>
              <w:pStyle w:val="Compact"/>
              <w:jc w:val="left"/>
            </w:pPr>
            <w:r>
              <w:t xml:space="preserve">On-site</w:t>
            </w:r>
          </w:p>
        </w:tc>
      </w:tr>
      <w:tr>
        <w:tc>
          <w:tcPr/>
          <w:p>
            <w:pPr>
              <w:pStyle w:val="Compact"/>
              <w:jc w:val="left"/>
            </w:pPr>
            <w:r>
              <w:t xml:space="preserve">3</w:t>
            </w:r>
          </w:p>
        </w:tc>
        <w:tc>
          <w:tcPr/>
          <w:p>
            <w:pPr>
              <w:pStyle w:val="Compact"/>
              <w:jc w:val="left"/>
            </w:pPr>
            <w:r>
              <w:t xml:space="preserve">Consecutive Translator Interpreter for Regulatory Authority meetings (Qatar Financial Centre, Doha)</w:t>
            </w:r>
          </w:p>
        </w:tc>
        <w:tc>
          <w:tcPr/>
          <w:p>
            <w:pPr>
              <w:pStyle w:val="Compact"/>
              <w:jc w:val="left"/>
            </w:pPr>
            <w:r>
              <w:t xml:space="preserve">Arabic / French</w:t>
            </w:r>
          </w:p>
        </w:tc>
        <w:tc>
          <w:tcPr/>
          <w:p>
            <w:pPr>
              <w:pStyle w:val="Compact"/>
              <w:jc w:val="left"/>
            </w:pPr>
            <w:r>
              <w:t xml:space="preserve">4 hours x 5 days</w:t>
            </w:r>
          </w:p>
        </w:tc>
        <w:tc>
          <w:tcPr/>
          <w:p>
            <w:pPr>
              <w:pStyle w:val="Compact"/>
              <w:jc w:val="left"/>
            </w:pPr>
            <w:r>
              <w:t xml:space="preserve">1,100 / hr</w:t>
            </w:r>
          </w:p>
        </w:tc>
        <w:tc>
          <w:tcPr/>
          <w:p>
            <w:pPr>
              <w:pStyle w:val="Compact"/>
              <w:jc w:val="left"/>
            </w:pPr>
            <w:r>
              <w:t xml:space="preserve">22,000</w:t>
            </w:r>
          </w:p>
        </w:tc>
        <w:tc>
          <w:tcPr/>
          <w:p>
            <w:pPr>
              <w:pStyle w:val="Compact"/>
              <w:jc w:val="left"/>
            </w:pPr>
            <w:r>
              <w:t xml:space="preserve">On-site</w:t>
            </w:r>
          </w:p>
        </w:tc>
      </w:tr>
      <w:tr>
        <w:tc>
          <w:tcPr/>
          <w:p>
            <w:pPr>
              <w:pStyle w:val="Compact"/>
              <w:jc w:val="left"/>
            </w:pPr>
            <w:r>
              <w:t xml:space="preserve">4</w:t>
            </w:r>
          </w:p>
        </w:tc>
        <w:tc>
          <w:tcPr/>
          <w:p>
            <w:pPr>
              <w:pStyle w:val="Compact"/>
              <w:jc w:val="left"/>
            </w:pPr>
            <w:r>
              <w:t xml:space="preserve">Remote Translator Interpreter for weekly operational video conferences</w:t>
            </w:r>
          </w:p>
        </w:tc>
        <w:tc>
          <w:tcPr/>
          <w:p>
            <w:pPr>
              <w:pStyle w:val="Compact"/>
              <w:jc w:val="left"/>
            </w:pPr>
            <w:r>
              <w:t xml:space="preserve">English / Hindi</w:t>
            </w:r>
          </w:p>
        </w:tc>
        <w:tc>
          <w:tcPr/>
          <w:p>
            <w:pPr>
              <w:pStyle w:val="Compact"/>
              <w:jc w:val="left"/>
            </w:pPr>
            <w:r>
              <w:t xml:space="preserve">2 hours x 12 weeks</w:t>
            </w:r>
          </w:p>
        </w:tc>
        <w:tc>
          <w:tcPr/>
          <w:p>
            <w:pPr>
              <w:pStyle w:val="Compact"/>
              <w:jc w:val="left"/>
            </w:pPr>
            <w:r>
              <w:t xml:space="preserve">800 / hr</w:t>
            </w:r>
          </w:p>
        </w:tc>
        <w:tc>
          <w:tcPr/>
          <w:p>
            <w:pPr>
              <w:pStyle w:val="Compact"/>
              <w:jc w:val="left"/>
            </w:pPr>
            <w:r>
              <w:t xml:space="preserve">19,200</w:t>
            </w:r>
          </w:p>
        </w:tc>
        <w:tc>
          <w:tcPr/>
          <w:p>
            <w:pPr>
              <w:pStyle w:val="Compact"/>
              <w:jc w:val="left"/>
            </w:pPr>
            <w:r>
              <w:t xml:space="preserve">Remote</w:t>
            </w:r>
          </w:p>
        </w:tc>
      </w:tr>
      <w:tr>
        <w:tc>
          <w:tcPr/>
          <w:p>
            <w:pPr>
              <w:pStyle w:val="Compact"/>
              <w:jc w:val="left"/>
            </w:pPr>
            <w:r>
              <w:t xml:space="preserve">5</w:t>
            </w:r>
          </w:p>
        </w:tc>
        <w:tc>
          <w:tcPr/>
          <w:p>
            <w:pPr>
              <w:pStyle w:val="Compact"/>
              <w:jc w:val="left"/>
            </w:pPr>
            <w:r>
              <w:t xml:space="preserve">Document Translation and Interpreter support for technical manuals (Qatar Doha warehouse)</w:t>
            </w:r>
          </w:p>
        </w:tc>
        <w:tc>
          <w:tcPr/>
          <w:p>
            <w:pPr>
              <w:pStyle w:val="Compact"/>
              <w:jc w:val="left"/>
            </w:pPr>
            <w:r>
              <w:t xml:space="preserve">Arabic / English</w:t>
            </w:r>
          </w:p>
        </w:tc>
        <w:tc>
          <w:tcPr/>
          <w:p>
            <w:pPr>
              <w:pStyle w:val="Compact"/>
              <w:jc w:val="left"/>
            </w:pPr>
            <w:r>
              <w:t xml:space="preserve">15,000 words</w:t>
            </w:r>
          </w:p>
        </w:tc>
        <w:tc>
          <w:tcPr/>
          <w:p>
            <w:pPr>
              <w:pStyle w:val="Compact"/>
              <w:jc w:val="left"/>
            </w:pPr>
            <w:r>
              <w:t xml:space="preserve">18 / word</w:t>
            </w:r>
          </w:p>
        </w:tc>
        <w:tc>
          <w:tcPr/>
          <w:p>
            <w:pPr>
              <w:pStyle w:val="Compact"/>
              <w:jc w:val="left"/>
            </w:pPr>
            <w:r>
              <w:t xml:space="preserve">270,000</w:t>
            </w:r>
          </w:p>
        </w:tc>
        <w:tc>
          <w:tcPr/>
          <w:p>
            <w:pPr>
              <w:pStyle w:val="Compact"/>
              <w:jc w:val="left"/>
            </w:pPr>
            <w:r>
              <w:t xml:space="preserve">On-site</w:t>
            </w:r>
          </w:p>
        </w:tc>
      </w:tr>
      <w:tr>
        <w:tc>
          <w:tcPr/>
          <w:p>
            <w:pPr>
              <w:pStyle w:val="Compact"/>
              <w:jc w:val="left"/>
            </w:pPr>
            <w:r>
              <w:t xml:space="preserve">6</w:t>
            </w:r>
          </w:p>
        </w:tc>
        <w:tc>
          <w:tcPr/>
          <w:p>
            <w:pPr>
              <w:pStyle w:val="Compact"/>
              <w:jc w:val="left"/>
            </w:pPr>
            <w:r>
              <w:t xml:space="preserve">Emergency Translator Interpreter standby (24/7 availability, Qatar Doha metro area)</w:t>
            </w:r>
          </w:p>
        </w:tc>
        <w:tc>
          <w:tcPr/>
          <w:p>
            <w:pPr>
              <w:pStyle w:val="Compact"/>
              <w:jc w:val="left"/>
            </w:pPr>
            <w:r>
              <w:t xml:space="preserve">Multi-language</w:t>
            </w:r>
          </w:p>
        </w:tc>
        <w:tc>
          <w:tcPr/>
          <w:p>
            <w:pPr>
              <w:pStyle w:val="Compact"/>
              <w:jc w:val="left"/>
            </w:pPr>
            <w:r>
              <w:t xml:space="preserve">3 months</w:t>
            </w:r>
          </w:p>
        </w:tc>
        <w:tc>
          <w:tcPr/>
          <w:p>
            <w:pPr>
              <w:pStyle w:val="Compact"/>
              <w:jc w:val="left"/>
            </w:pPr>
            <w:r>
              <w:t xml:space="preserve">5,000 / month</w:t>
            </w:r>
          </w:p>
        </w:tc>
        <w:tc>
          <w:tcPr/>
          <w:p>
            <w:pPr>
              <w:pStyle w:val="Compact"/>
              <w:jc w:val="left"/>
            </w:pPr>
            <w:r>
              <w:t xml:space="preserve">15,000</w:t>
            </w:r>
          </w:p>
        </w:tc>
        <w:tc>
          <w:tcPr/>
          <w:p>
            <w:pPr>
              <w:pStyle w:val="Compact"/>
              <w:jc w:val="left"/>
            </w:pPr>
            <w:r>
              <w:t xml:space="preserve">On-call</w:t>
            </w:r>
          </w:p>
        </w:tc>
      </w:tr>
      <w:tr>
        <w:tc>
          <w:tcPr/>
          <w:p>
            <w:pPr>
              <w:pStyle w:val="Compact"/>
              <w:jc w:val="left"/>
            </w:pPr>
            <w:r>
              <w:t xml:space="preserve">7</w:t>
            </w:r>
          </w:p>
        </w:tc>
        <w:tc>
          <w:tcPr/>
          <w:p>
            <w:pPr>
              <w:pStyle w:val="Compact"/>
              <w:jc w:val="left"/>
            </w:pPr>
            <w:r>
              <w:t xml:space="preserve">Travel and logistics within Qatar Doha and surrounding zones</w:t>
            </w:r>
          </w:p>
        </w:tc>
        <w:tc>
          <w:tcPr/>
          <w:p>
            <w:pPr>
              <w:pStyle w:val="Compact"/>
              <w:jc w:val="left"/>
            </w:pPr>
            <w:r>
              <w:t xml:space="preserve">N/A</w:t>
            </w:r>
          </w:p>
        </w:tc>
        <w:tc>
          <w:tcPr/>
          <w:p>
            <w:pPr>
              <w:pStyle w:val="Compact"/>
              <w:jc w:val="left"/>
            </w:pPr>
            <w:r>
              <w:t xml:space="preserve">3 months</w:t>
            </w:r>
          </w:p>
        </w:tc>
        <w:tc>
          <w:tcPr/>
          <w:p>
            <w:pPr>
              <w:pStyle w:val="Compact"/>
              <w:jc w:val="left"/>
            </w:pPr>
            <w:r>
              <w:t xml:space="preserve">Flat rate</w:t>
            </w:r>
          </w:p>
        </w:tc>
        <w:tc>
          <w:tcPr/>
          <w:p>
            <w:pPr>
              <w:pStyle w:val="Compact"/>
              <w:jc w:val="left"/>
            </w:pPr>
            <w:r>
              <w:t xml:space="preserve">8,500</w:t>
            </w:r>
          </w:p>
        </w:tc>
        <w:tc>
          <w:tcPr/>
          <w:p>
            <w:pPr>
              <w:pStyle w:val="Compact"/>
              <w:jc w:val="left"/>
            </w:pPr>
            <w:r>
              <w:t xml:space="preserve">N/A</w:t>
            </w:r>
          </w:p>
        </w:tc>
      </w:tr>
      <w:tr>
        <w:tc>
          <w:tcPr>
            <w:gridSpan w:val="5"/>
          </w:tcPr>
          <w:p>
            <w:pPr>
              <w:pStyle w:val="Compact"/>
              <w:jc w:val="left"/>
            </w:pPr>
            <w:r>
              <w:t xml:space="preserve">Subtotal</w:t>
            </w:r>
          </w:p>
        </w:tc>
        <w:tc>
          <w:tcPr/>
          <w:p>
            <w:pPr>
              <w:pStyle w:val="Compact"/>
              <w:jc w:val="left"/>
            </w:pPr>
            <w:r>
              <w:t xml:space="preserve">487,700</w:t>
            </w:r>
          </w:p>
        </w:tc>
        <w:tc>
          <w:tcPr/>
          <w:p>
            <w:pPr>
              <w:pStyle w:val="Compact"/>
            </w:pPr>
          </w:p>
        </w:tc>
      </w:tr>
      <w:tr>
        <w:tc>
          <w:tcPr>
            <w:gridSpan w:val="5"/>
          </w:tcPr>
          <w:p>
            <w:pPr>
              <w:pStyle w:val="Compact"/>
              <w:jc w:val="left"/>
            </w:pPr>
            <w:r>
              <w:t xml:space="preserve">VAT (14%)</w:t>
            </w:r>
          </w:p>
        </w:tc>
        <w:tc>
          <w:tcPr/>
          <w:p>
            <w:pPr>
              <w:pStyle w:val="Compact"/>
              <w:jc w:val="left"/>
            </w:pPr>
            <w:r>
              <w:t xml:space="preserve">68,278</w:t>
            </w:r>
          </w:p>
        </w:tc>
        <w:tc>
          <w:tcPr/>
          <w:p>
            <w:pPr>
              <w:pStyle w:val="Compact"/>
            </w:pPr>
          </w:p>
        </w:tc>
      </w:tr>
      <w:tr>
        <w:tc>
          <w:tcPr>
            <w:gridSpan w:val="5"/>
          </w:tcPr>
          <w:p>
            <w:pPr>
              <w:pStyle w:val="Compact"/>
              <w:jc w:val="left"/>
            </w:pPr>
            <w:r>
              <w:rPr>
                <w:bCs/>
                <w:b/>
              </w:rPr>
              <w:t xml:space="preserve">TOTAL AMOUNT (QAR)</w:t>
            </w:r>
          </w:p>
        </w:tc>
        <w:tc>
          <w:tcPr/>
          <w:p>
            <w:pPr>
              <w:pStyle w:val="Compact"/>
              <w:jc w:val="left"/>
            </w:pPr>
            <w:r>
              <w:rPr>
                <w:bCs/>
                <w:b/>
              </w:rPr>
              <w:t xml:space="preserve">555,978</w:t>
            </w:r>
          </w:p>
        </w:tc>
        <w:tc>
          <w:tcPr/>
          <w:p>
            <w:pPr>
              <w:pStyle w:val="Compact"/>
            </w:pP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standard working hours (08:00 – 17:00 QST). Any</w:t>
      </w:r>
      <w:r>
        <w:t xml:space="preserve"> </w:t>
      </w:r>
      <w:r>
        <w:t xml:space="preserve">Translator Interpreter</w:t>
      </w:r>
      <w:r>
        <w:t xml:space="preserve"> </w:t>
      </w:r>
      <w:r>
        <w:t xml:space="preserve">services required outside these hours, on public holidays, or during the Holy Month of Ramadan will be subject to a 25% surcharge. All rates are quoted in Qatari Riyals (QAR) and are inclusive of the</w:t>
      </w:r>
      <w:r>
        <w:t xml:space="preserve"> </w:t>
      </w:r>
      <w:r>
        <w:t xml:space="preserve">Translator Interpreter</w:t>
      </w:r>
      <w:r>
        <w:t xml:space="preserve">'s professional fees, equipment, and materials.</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all rates and availability of the</w:t>
      </w:r>
      <w:r>
        <w:t xml:space="preserve"> </w:t>
      </w:r>
      <w:r>
        <w:t xml:space="preserve">Translator Interpreter</w:t>
      </w:r>
      <w:r>
        <w:t xml:space="preserve"> </w:t>
      </w:r>
      <w:r>
        <w:t xml:space="preserve">team in</w:t>
      </w:r>
      <w:r>
        <w:t xml:space="preserve"> </w:t>
      </w:r>
      <w:r>
        <w:t xml:space="preserve">Qatar Doha</w:t>
      </w:r>
      <w:r>
        <w:t xml:space="preserve"> </w:t>
      </w:r>
      <w:r>
        <w:t xml:space="preserve">are subject to revision.</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due within fourteen (14) days of service completion. Payment shall be made via bank transfer to LinguaBridge Professional Services LLC, Bank of Qatar, Account No. 0012-3456-7890.</w:t>
      </w:r>
    </w:p>
    <w:p>
      <w:pPr>
        <w:numPr>
          <w:ilvl w:val="0"/>
          <w:numId w:val="1001"/>
        </w:numPr>
        <w:pStyle w:val="Compact"/>
      </w:pPr>
      <w:r>
        <w:t xml:space="preserve">All</w:t>
      </w:r>
      <w:r>
        <w:t xml:space="preserve"> </w:t>
      </w:r>
      <w:r>
        <w:t xml:space="preserve">Translator Interpreter</w:t>
      </w:r>
      <w:r>
        <w:t xml:space="preserve"> </w:t>
      </w:r>
      <w:r>
        <w:t xml:space="preserve">services will be conducted in strict compliance with Qatar's data protection regulations and the client's internal confidentiality policies. A Non-Disclosure Agreement (NDA) will be executed prior to the commencement of any</w:t>
      </w:r>
      <w:r>
        <w:t xml:space="preserve"> </w:t>
      </w:r>
      <w:r>
        <w:t xml:space="preserve">Translator Interpreter</w:t>
      </w:r>
      <w:r>
        <w:t xml:space="preserve"> </w:t>
      </w:r>
      <w:r>
        <w:t xml:space="preserve">engagement in</w:t>
      </w:r>
      <w:r>
        <w:t xml:space="preserve"> </w:t>
      </w:r>
      <w:r>
        <w:t xml:space="preserve">Qatar Doha</w:t>
      </w:r>
      <w:r>
        <w:t xml:space="preserve">.</w:t>
      </w:r>
    </w:p>
    <w:p>
      <w:pPr>
        <w:numPr>
          <w:ilvl w:val="0"/>
          <w:numId w:val="1001"/>
        </w:numPr>
        <w:pStyle w:val="Compact"/>
      </w:pPr>
      <w:r>
        <w:t xml:space="preserve">The client is required to provide a minimum of seventy-two (72) hours' notice for any changes to the schedule, location, or scope of the</w:t>
      </w:r>
      <w:r>
        <w:t xml:space="preserve"> </w:t>
      </w:r>
      <w:r>
        <w:t xml:space="preserve">Translator Interpreter</w:t>
      </w:r>
      <w:r>
        <w:t xml:space="preserve"> </w:t>
      </w:r>
      <w:r>
        <w:t xml:space="preserve">services. Cancellations made less than forty-eight (48) hours before the scheduled session will incur a 50% fee of the booked amount.</w:t>
      </w:r>
    </w:p>
    <w:p>
      <w:pPr>
        <w:numPr>
          <w:ilvl w:val="0"/>
          <w:numId w:val="1001"/>
        </w:numPr>
        <w:pStyle w:val="Compact"/>
      </w:pPr>
      <w:r>
        <w:t xml:space="preserve">LinguaBridge Professional Services LLC reserves the right to substitute the assigned</w:t>
      </w:r>
      <w:r>
        <w:t xml:space="preserve"> </w:t>
      </w:r>
      <w:r>
        <w:t xml:space="preserve">Translator Interpreter</w:t>
      </w:r>
      <w:r>
        <w:t xml:space="preserve"> </w:t>
      </w:r>
      <w:r>
        <w:t xml:space="preserve">with an equally qualified professional in the event of unforeseen circumstances, provided the client is notified at least twenty-four (24) hours in advance.</w:t>
      </w:r>
    </w:p>
    <w:p>
      <w:pPr>
        <w:numPr>
          <w:ilvl w:val="0"/>
          <w:numId w:val="1001"/>
        </w:numPr>
        <w:pStyle w:val="Compact"/>
      </w:pPr>
      <w:r>
        <w:t xml:space="preserve">All services will be delivered in</w:t>
      </w:r>
      <w:r>
        <w:t xml:space="preserve"> </w:t>
      </w:r>
      <w:r>
        <w:t xml:space="preserve">Qatar Doha</w:t>
      </w:r>
      <w:r>
        <w:t xml:space="preserve"> </w:t>
      </w:r>
      <w:r>
        <w:t xml:space="preserve">unless otherwise specified in writing. Travel to locations outside the Doha metropolitan area (including Al Khor, Al Wakrah, and the Northern Zone) will be billed at an additional rate of QAR 50 per kilometer beyond the first twenty kilometers.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The final service agreement will be governed by the laws of the State of Qatar.</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w:t>
      </w:r>
      <w:r>
        <w:t xml:space="preserve"> </w:t>
      </w:r>
      <w:r>
        <w:t xml:space="preserve">Translator Interpreter</w:t>
      </w:r>
      <w:r>
        <w:t xml:space="preserve"> </w:t>
      </w:r>
      <w:r>
        <w:t xml:space="preserve">engagement in</w:t>
      </w:r>
      <w:r>
        <w:t xml:space="preserve"> </w:t>
      </w:r>
      <w:r>
        <w:t xml:space="preserve">Qatar Doha</w:t>
      </w:r>
      <w:r>
        <w:t xml:space="preserve"> </w:t>
      </w:r>
      <w:r>
        <w:t xml:space="preserve">shall be resolved through arbitration in accordance with the rules of the Qatar International Arbitration Centre (QIAC).</w:t>
      </w:r>
    </w:p>
    <w:p>
      <w:pPr>
        <w:pStyle w:val="FirstParagraph"/>
      </w:pPr>
      <w:r>
        <w:t xml:space="preserve">Acceptance and Authorization</w:t>
      </w:r>
    </w:p>
    <w:p>
      <w:pPr>
        <w:pStyle w:val="BodyText"/>
      </w:pPr>
      <w:r>
        <w:t xml:space="preserve">By signing below, both parties acknowledge and agree to the terms, conditions, and pricing outlined in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to be rendered in</w:t>
      </w:r>
      <w:r>
        <w:t xml:space="preserve"> </w:t>
      </w:r>
      <w:r>
        <w:t xml:space="preserve">Qatar Doha</w:t>
      </w:r>
      <w:r>
        <w:t xml:space="preserve">.</w:t>
      </w:r>
    </w:p>
    <w:p>
      <w:pPr>
        <w:pStyle w:val="BodyText"/>
      </w:pPr>
      <w:r>
        <w:rPr>
          <w:bCs/>
          <w:b/>
        </w:rPr>
        <w:t xml:space="preserve">For LinguaBridge Professional Services LLC</w:t>
      </w:r>
      <w:r>
        <w:br/>
      </w:r>
      <w:r>
        <w:t xml:space="preserve">Name: Ms. Sarah Al-Thani</w:t>
      </w:r>
      <w:r>
        <w:br/>
      </w:r>
      <w:r>
        <w:t xml:space="preserve">Title: Senior Account Manager</w:t>
      </w:r>
      <w:r>
        <w:br/>
      </w:r>
      <w:r>
        <w:t xml:space="preserve">Date: _______________</w:t>
      </w:r>
    </w:p>
    <w:p>
      <w:pPr>
        <w:pStyle w:val="BodyText"/>
      </w:pPr>
      <w:r>
        <w:rPr>
          <w:bCs/>
          <w:b/>
        </w:rPr>
        <w:t xml:space="preserve">For Al Rayyan Industrial Group WLL</w:t>
      </w:r>
      <w:r>
        <w:br/>
      </w:r>
      <w:r>
        <w:t xml:space="preserve">Name: Mr. Khalid Al-Mansoori</w:t>
      </w:r>
      <w:r>
        <w:br/>
      </w:r>
      <w:r>
        <w:t xml:space="preserve">Title: Director of Operations</w:t>
      </w:r>
      <w:r>
        <w:br/>
      </w:r>
      <w:r>
        <w:t xml:space="preserve">Date: _______________</w:t>
      </w:r>
    </w:p>
    <w:p>
      <w:pPr>
        <w:pStyle w:val="BodyText"/>
      </w:pPr>
      <w:r>
        <w:t xml:space="preserve">This</w:t>
      </w:r>
      <w:r>
        <w:t xml:space="preserve"> </w:t>
      </w:r>
      <w:r>
        <w:t xml:space="preserve">Quotation Estimate</w:t>
      </w:r>
      <w:r>
        <w:t xml:space="preserve"> </w:t>
      </w:r>
      <w:r>
        <w:t xml:space="preserve">(Ref: QTE-2025-QD-0847) is issued by LinguaBridge Professional Services LLC for</w:t>
      </w:r>
      <w:r>
        <w:t xml:space="preserve"> </w:t>
      </w:r>
      <w:r>
        <w:t xml:space="preserve">Translator Interpreter</w:t>
      </w:r>
      <w:r>
        <w:t xml:space="preserve"> </w:t>
      </w:r>
      <w:r>
        <w:t xml:space="preserve">services in</w:t>
      </w:r>
      <w:r>
        <w:t xml:space="preserve"> </w:t>
      </w:r>
      <w:r>
        <w:t xml:space="preserve">Qatar Doha</w:t>
      </w:r>
      <w:r>
        <w:t xml:space="preserve">. This document is confidential and intended solely for the named recipient. Unauthorized reproduction or distribution is prohibited.</w:t>
      </w:r>
    </w:p>
    <w:p>
      <w:pPr>
        <w:pStyle w:val="BodyText"/>
      </w:pPr>
      <w:r>
        <w:t xml:space="preserve">© 2025 LinguaBridge Professional Services LLC. All rights reserved.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Qatar Doha</dc:title>
  <dc:creator/>
  <dc:language>en</dc:language>
  <cp:keywords/>
  <dcterms:created xsi:type="dcterms:W3CDTF">2026-10-10T05:00:41Z</dcterms:created>
  <dcterms:modified xsi:type="dcterms:W3CDTF">2026-10-10T05:00:41Z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