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Translator Interpreter Services — Russia Moscow</w:t>
      </w:r>
    </w:p>
    <w:p>
      <w:pPr>
        <w:pStyle w:val="BodyText"/>
      </w:pPr>
      <w:r>
        <w:t xml:space="preserve">Document Reference: QTE-RM-2025-0417</w:t>
      </w:r>
    </w:p>
    <w:bookmarkEnd w:id="20"/>
    <w:p>
      <w:pPr>
        <w:pStyle w:val="BodyText"/>
      </w:pPr>
      <w:r>
        <w:rPr>
          <w:bCs/>
          <w:b/>
        </w:rPr>
        <w:t xml:space="preserve">Date of Issue:</w:t>
      </w:r>
      <w:r>
        <w:t xml:space="preserve"> </w:t>
      </w:r>
      <w:r>
        <w:t xml:space="preserve">17 June 2025</w:t>
      </w:r>
      <w:r>
        <w:br/>
      </w:r>
      <w:r>
        <w:rPr>
          <w:bCs/>
          <w:b/>
        </w:rPr>
        <w:t xml:space="preserve">Valid Until:</w:t>
      </w:r>
      <w:r>
        <w:t xml:space="preserve"> </w:t>
      </w:r>
      <w:r>
        <w:t xml:space="preserve">17 July 2025</w:t>
      </w:r>
      <w:r>
        <w:br/>
      </w:r>
      <w:r>
        <w:rPr>
          <w:bCs/>
          <w:b/>
        </w:rPr>
        <w:t xml:space="preserve">Prepared By:</w:t>
      </w:r>
      <w:r>
        <w:t xml:space="preserve"> </w:t>
      </w:r>
      <w:r>
        <w:t xml:space="preserve">LINGUA BRIDGE INTERNATIONAL LLC</w:t>
      </w:r>
    </w:p>
    <w:p>
      <w:pPr>
        <w:pStyle w:val="BodyText"/>
      </w:pPr>
      <w:r>
        <w:rPr>
          <w:bCs/>
          <w:b/>
        </w:rPr>
        <w:t xml:space="preserve">Client:</w:t>
      </w:r>
      <w:r>
        <w:t xml:space="preserve"> </w:t>
      </w:r>
      <w:r>
        <w:t xml:space="preserve">[Client Company Name]</w:t>
      </w:r>
      <w:r>
        <w:br/>
      </w:r>
      <w:r>
        <w:rPr>
          <w:bCs/>
          <w:b/>
        </w:rPr>
        <w:t xml:space="preserve">Project Location:</w:t>
      </w:r>
      <w:r>
        <w:t xml:space="preserve"> </w:t>
      </w:r>
      <w:r>
        <w:t xml:space="preserve">Russia Moscow</w:t>
      </w:r>
      <w:r>
        <w:br/>
      </w:r>
      <w:r>
        <w:rPr>
          <w:bCs/>
          <w:b/>
        </w:rPr>
        <w:t xml:space="preserve">Service Category:</w:t>
      </w:r>
      <w:r>
        <w:t xml:space="preserve"> </w:t>
      </w:r>
      <w:r>
        <w:t xml:space="preserve">Translator Interpreter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Lingua Bridge International LLC to provide a comprehensive and transparent breakdown of costs associated with the engagement of a certified</w:t>
      </w:r>
      <w:r>
        <w:t xml:space="preserve"> </w:t>
      </w:r>
      <w:r>
        <w:t xml:space="preserve">Translator Interpreter</w:t>
      </w:r>
      <w:r>
        <w:t xml:space="preserve"> </w:t>
      </w:r>
      <w:r>
        <w:t xml:space="preserve">for professional language services to be delivered in</w:t>
      </w:r>
      <w:r>
        <w:t xml:space="preserve"> </w:t>
      </w:r>
      <w:r>
        <w:t xml:space="preserve">Russia Moscow</w:t>
      </w:r>
      <w:r>
        <w:t xml:space="preserve">. This document outlines the scope of work, applicable rates, project timelines, and all commercial terms governing the provision of translation and interpretation services. The</w:t>
      </w:r>
      <w:r>
        <w:t xml:space="preserve"> </w:t>
      </w:r>
      <w:r>
        <w:t xml:space="preserve">Quotation Estimate</w:t>
      </w:r>
      <w:r>
        <w:t xml:space="preserve"> </w:t>
      </w:r>
      <w:r>
        <w:t xml:space="preserve">is prepared in accordance with international business standards and complies with the regulatory framework applicable to professional language services operating within the Russian Federation.</w:t>
      </w:r>
    </w:p>
    <w:p>
      <w:pPr>
        <w:pStyle w:val="BodyText"/>
      </w:pPr>
      <w:r>
        <w:t xml:space="preserve">The</w:t>
      </w:r>
      <w:r>
        <w:t xml:space="preserve"> </w:t>
      </w:r>
      <w:r>
        <w:t xml:space="preserve">Translator Interpreter</w:t>
      </w:r>
      <w:r>
        <w:t xml:space="preserve"> </w:t>
      </w:r>
      <w:r>
        <w:t xml:space="preserve">services described herein are intended to support the Client's business operations, legal proceedings, medical consultations, technical conferences, or corporate negotiations taking place in</w:t>
      </w:r>
      <w:r>
        <w:t xml:space="preserve"> </w:t>
      </w:r>
      <w:r>
        <w:t xml:space="preserve">Russia Moscow</w:t>
      </w:r>
      <w:r>
        <w:t xml:space="preserve">. All rates and conditions presented in this</w:t>
      </w:r>
      <w:r>
        <w:t xml:space="preserve"> </w:t>
      </w:r>
      <w:r>
        <w:t xml:space="preserve">Quotation Estimate</w:t>
      </w:r>
      <w:r>
        <w:t xml:space="preserve"> </w:t>
      </w:r>
      <w:r>
        <w:t xml:space="preserve">reflect current market pricing for qualified linguistic professionals operating in the Moscow metropolitan area and are subject to the terms and conditions specified in Section 7 of this document.</w:t>
      </w:r>
    </w:p>
    <w:bookmarkEnd w:id="21"/>
    <w:bookmarkStart w:id="22" w:name="Xc2b36564bc6dbc8dff924c8c55734b0ded151e3"/>
    <w:p>
      <w:pPr>
        <w:pStyle w:val="Heading2"/>
      </w:pPr>
      <w:r>
        <w:t xml:space="preserve">2. Scope of Services — Translator Interpreter in Russia Moscow</w:t>
      </w:r>
    </w:p>
    <w:p>
      <w:pPr>
        <w:pStyle w:val="FirstParagraph"/>
      </w:pPr>
      <w:r>
        <w:t xml:space="preserve">The</w:t>
      </w:r>
      <w:r>
        <w:t xml:space="preserve"> </w:t>
      </w:r>
      <w:r>
        <w:t xml:space="preserve">Translator Interpreter</w:t>
      </w:r>
      <w:r>
        <w:t xml:space="preserve"> </w:t>
      </w:r>
      <w:r>
        <w:t xml:space="preserve">engaged under this</w:t>
      </w:r>
      <w:r>
        <w:t xml:space="preserve"> </w:t>
      </w:r>
      <w:r>
        <w:t xml:space="preserve">Quotation Estimate</w:t>
      </w:r>
      <w:r>
        <w:t xml:space="preserve"> </w:t>
      </w:r>
      <w:r>
        <w:t xml:space="preserve">shall provide the following services in</w:t>
      </w:r>
      <w:r>
        <w:t xml:space="preserve"> </w:t>
      </w:r>
      <w:r>
        <w:t xml:space="preserve">Russia Moscow</w:t>
      </w:r>
      <w:r>
        <w:t xml:space="preserve">:</w:t>
      </w:r>
    </w:p>
    <w:p>
      <w:pPr>
        <w:numPr>
          <w:ilvl w:val="0"/>
          <w:numId w:val="1001"/>
        </w:numPr>
        <w:pStyle w:val="Compact"/>
      </w:pPr>
      <w:r>
        <w:rPr>
          <w:bCs/>
          <w:b/>
        </w:rPr>
        <w:t xml:space="preserve">Consecutive Interpretation:</w:t>
      </w:r>
      <w:r>
        <w:t xml:space="preserve"> </w:t>
      </w:r>
      <w:r>
        <w:t xml:space="preserve">Real-time oral translation between English and Russian (or other requested language pairs) for business meetings, board presentations, and client negotiations conducted in Moscow offices, conference centers, or hotel venues.</w:t>
      </w:r>
    </w:p>
    <w:p>
      <w:pPr>
        <w:numPr>
          <w:ilvl w:val="0"/>
          <w:numId w:val="1001"/>
        </w:numPr>
        <w:pStyle w:val="Compact"/>
      </w:pPr>
      <w:r>
        <w:rPr>
          <w:bCs/>
          <w:b/>
        </w:rPr>
        <w:t xml:space="preserve">Simultaneous Interpretation:</w:t>
      </w:r>
      <w:r>
        <w:t xml:space="preserve"> </w:t>
      </w:r>
      <w:r>
        <w:t xml:space="preserve">Live interpretation using professional audio equipment for conferences, seminars, and multi-party negotiations in</w:t>
      </w:r>
      <w:r>
        <w:t xml:space="preserve"> </w:t>
      </w:r>
      <w:r>
        <w:t xml:space="preserve">Russia Moscow</w:t>
      </w:r>
      <w:r>
        <w:t xml:space="preserve"> </w:t>
      </w:r>
      <w:r>
        <w:t xml:space="preserve">venues.</w:t>
      </w:r>
    </w:p>
    <w:p>
      <w:pPr>
        <w:numPr>
          <w:ilvl w:val="0"/>
          <w:numId w:val="1001"/>
        </w:numPr>
        <w:pStyle w:val="Compact"/>
      </w:pPr>
      <w:r>
        <w:rPr>
          <w:bCs/>
          <w:b/>
        </w:rPr>
        <w:t xml:space="preserve">Document Translation:</w:t>
      </w:r>
      <w:r>
        <w:t xml:space="preserve"> </w:t>
      </w:r>
      <w:r>
        <w:t xml:space="preserve">Certified written translation of legal contracts, technical manuals, financial reports, medical records, and corporate documentation from English to Russian and vice versa.</w:t>
      </w:r>
    </w:p>
    <w:p>
      <w:pPr>
        <w:numPr>
          <w:ilvl w:val="0"/>
          <w:numId w:val="1001"/>
        </w:numPr>
        <w:pStyle w:val="Compact"/>
      </w:pPr>
      <w:r>
        <w:rPr>
          <w:bCs/>
          <w:b/>
        </w:rPr>
        <w:t xml:space="preserve">On-Site Liaison Services:</w:t>
      </w:r>
      <w:r>
        <w:t xml:space="preserve"> </w:t>
      </w:r>
      <w:r>
        <w:t xml:space="preserve">Accompanying the Client's representatives during site visits, factory inspections, government agency meetings, and property transactions throughout Moscow and the Moscow Oblast.</w:t>
      </w:r>
    </w:p>
    <w:p>
      <w:pPr>
        <w:numPr>
          <w:ilvl w:val="0"/>
          <w:numId w:val="1001"/>
        </w:numPr>
        <w:pStyle w:val="Compact"/>
      </w:pPr>
      <w:r>
        <w:rPr>
          <w:bCs/>
          <w:b/>
        </w:rPr>
        <w:t xml:space="preserve">Remote Interpretation Support:</w:t>
      </w:r>
      <w:r>
        <w:t xml:space="preserve"> </w:t>
      </w:r>
      <w:r>
        <w:t xml:space="preserve">Video-conference and telephone interpretation services for meetings where the</w:t>
      </w:r>
      <w:r>
        <w:t xml:space="preserve"> </w:t>
      </w:r>
      <w:r>
        <w:t xml:space="preserve">Translator Interpreter</w:t>
      </w:r>
      <w:r>
        <w:t xml:space="preserve"> </w:t>
      </w:r>
      <w:r>
        <w:t xml:space="preserve">is not physically present in</w:t>
      </w:r>
      <w:r>
        <w:t xml:space="preserve"> </w:t>
      </w:r>
      <w:r>
        <w:t xml:space="preserve">Russia Moscow</w:t>
      </w:r>
      <w:r>
        <w:t xml:space="preserve">.</w:t>
      </w:r>
    </w:p>
    <w:bookmarkEnd w:id="22"/>
    <w:bookmarkStart w:id="23" w:name="detailed-cost-breakdown"/>
    <w:p>
      <w:pPr>
        <w:pStyle w:val="Heading2"/>
      </w:pPr>
      <w:r>
        <w:t xml:space="preserve">3. Detailed Cost Breakdown</w:t>
      </w:r>
    </w:p>
    <w:p>
      <w:pPr>
        <w:pStyle w:val="FirstParagraph"/>
      </w:pPr>
      <w:r>
        <w:t xml:space="preserve">The following table constitutes the financial core of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in</w:t>
      </w:r>
      <w:r>
        <w:t xml:space="preserve"> </w:t>
      </w:r>
      <w:r>
        <w:t xml:space="preserve">Russia Moscow</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Item</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Estimated Quantity</w:t>
            </w:r>
          </w:p>
        </w:tc>
        <w:tc>
          <w:tcPr/>
          <w:p>
            <w:pPr>
              <w:pStyle w:val="Compact"/>
              <w:jc w:val="left"/>
            </w:pPr>
            <w:r>
              <w:t xml:space="preserve">Subtotal (USD)</w:t>
            </w:r>
          </w:p>
        </w:tc>
      </w:tr>
      <w:tr>
        <w:tc>
          <w:tcPr/>
          <w:p>
            <w:pPr>
              <w:pStyle w:val="Compact"/>
              <w:jc w:val="left"/>
            </w:pPr>
            <w:r>
              <w:t xml:space="preserve">Consecutive Interpretation (on-site, Moscow)</w:t>
            </w:r>
          </w:p>
        </w:tc>
        <w:tc>
          <w:tcPr/>
          <w:p>
            <w:pPr>
              <w:pStyle w:val="Compact"/>
              <w:jc w:val="left"/>
            </w:pPr>
            <w:r>
              <w:t xml:space="preserve">Per hour</w:t>
            </w:r>
          </w:p>
        </w:tc>
        <w:tc>
          <w:tcPr/>
          <w:p>
            <w:pPr>
              <w:pStyle w:val="Compact"/>
              <w:jc w:val="left"/>
            </w:pPr>
            <w:r>
              <w:t xml:space="preserve">120.00</w:t>
            </w:r>
          </w:p>
        </w:tc>
        <w:tc>
          <w:tcPr/>
          <w:p>
            <w:pPr>
              <w:pStyle w:val="Compact"/>
              <w:jc w:val="left"/>
            </w:pPr>
            <w:r>
              <w:t xml:space="preserve">40 hours</w:t>
            </w:r>
          </w:p>
        </w:tc>
        <w:tc>
          <w:tcPr/>
          <w:p>
            <w:pPr>
              <w:pStyle w:val="Compact"/>
              <w:jc w:val="left"/>
            </w:pPr>
            <w:r>
              <w:t xml:space="preserve">4,800.00</w:t>
            </w:r>
          </w:p>
        </w:tc>
      </w:tr>
      <w:tr>
        <w:tc>
          <w:tcPr/>
          <w:p>
            <w:pPr>
              <w:pStyle w:val="Compact"/>
              <w:jc w:val="left"/>
            </w:pPr>
            <w:r>
              <w:t xml:space="preserve">Simultaneous Interpretation (conference setup included)</w:t>
            </w:r>
          </w:p>
        </w:tc>
        <w:tc>
          <w:tcPr/>
          <w:p>
            <w:pPr>
              <w:pStyle w:val="Compact"/>
              <w:jc w:val="left"/>
            </w:pPr>
            <w:r>
              <w:t xml:space="preserve">Per hour</w:t>
            </w:r>
          </w:p>
        </w:tc>
        <w:tc>
          <w:tcPr/>
          <w:p>
            <w:pPr>
              <w:pStyle w:val="Compact"/>
              <w:jc w:val="left"/>
            </w:pPr>
            <w:r>
              <w:t xml:space="preserve">185.00</w:t>
            </w:r>
          </w:p>
        </w:tc>
        <w:tc>
          <w:tcPr/>
          <w:p>
            <w:pPr>
              <w:pStyle w:val="Compact"/>
              <w:jc w:val="left"/>
            </w:pPr>
            <w:r>
              <w:t xml:space="preserve">16 hours</w:t>
            </w:r>
          </w:p>
        </w:tc>
        <w:tc>
          <w:tcPr/>
          <w:p>
            <w:pPr>
              <w:pStyle w:val="Compact"/>
              <w:jc w:val="left"/>
            </w:pPr>
            <w:r>
              <w:t xml:space="preserve">2,960.00</w:t>
            </w:r>
          </w:p>
        </w:tc>
      </w:tr>
      <w:tr>
        <w:tc>
          <w:tcPr/>
          <w:p>
            <w:pPr>
              <w:pStyle w:val="Compact"/>
              <w:jc w:val="left"/>
            </w:pPr>
            <w:r>
              <w:t xml:space="preserve">Certified Document Translation (English ↔ Russian)</w:t>
            </w:r>
          </w:p>
        </w:tc>
        <w:tc>
          <w:tcPr/>
          <w:p>
            <w:pPr>
              <w:pStyle w:val="Compact"/>
              <w:jc w:val="left"/>
            </w:pPr>
            <w:r>
              <w:t xml:space="preserve">Per 1,000 words</w:t>
            </w:r>
          </w:p>
        </w:tc>
        <w:tc>
          <w:tcPr/>
          <w:p>
            <w:pPr>
              <w:pStyle w:val="Compact"/>
              <w:jc w:val="left"/>
            </w:pPr>
            <w:r>
              <w:t xml:space="preserve">95.00</w:t>
            </w:r>
          </w:p>
        </w:tc>
        <w:tc>
          <w:tcPr/>
          <w:p>
            <w:pPr>
              <w:pStyle w:val="Compact"/>
              <w:jc w:val="left"/>
            </w:pPr>
            <w:r>
              <w:t xml:space="preserve">25,000 words</w:t>
            </w:r>
          </w:p>
        </w:tc>
        <w:tc>
          <w:tcPr/>
          <w:p>
            <w:pPr>
              <w:pStyle w:val="Compact"/>
              <w:jc w:val="left"/>
            </w:pPr>
            <w:r>
              <w:t xml:space="preserve">2,375.00</w:t>
            </w:r>
          </w:p>
        </w:tc>
      </w:tr>
      <w:tr>
        <w:tc>
          <w:tcPr/>
          <w:p>
            <w:pPr>
              <w:pStyle w:val="Compact"/>
              <w:jc w:val="left"/>
            </w:pPr>
            <w:r>
              <w:t xml:space="preserve">On-Site Liaison / Escort Services (Moscow)</w:t>
            </w:r>
          </w:p>
        </w:tc>
        <w:tc>
          <w:tcPr/>
          <w:p>
            <w:pPr>
              <w:pStyle w:val="Compact"/>
              <w:jc w:val="left"/>
            </w:pPr>
            <w:r>
              <w:t xml:space="preserve">Per day (8 hrs)</w:t>
            </w:r>
          </w:p>
        </w:tc>
        <w:tc>
          <w:tcPr/>
          <w:p>
            <w:pPr>
              <w:pStyle w:val="Compact"/>
              <w:jc w:val="left"/>
            </w:pPr>
            <w:r>
              <w:t xml:space="preserve">350.00</w:t>
            </w:r>
          </w:p>
        </w:tc>
        <w:tc>
          <w:tcPr/>
          <w:p>
            <w:pPr>
              <w:pStyle w:val="Compact"/>
              <w:jc w:val="left"/>
            </w:pPr>
            <w:r>
              <w:t xml:space="preserve">10 days</w:t>
            </w:r>
          </w:p>
        </w:tc>
        <w:tc>
          <w:tcPr/>
          <w:p>
            <w:pPr>
              <w:pStyle w:val="Compact"/>
              <w:jc w:val="left"/>
            </w:pPr>
            <w:r>
              <w:t xml:space="preserve">3,500.00</w:t>
            </w:r>
          </w:p>
        </w:tc>
      </w:tr>
      <w:tr>
        <w:tc>
          <w:tcPr/>
          <w:p>
            <w:pPr>
              <w:pStyle w:val="Compact"/>
              <w:jc w:val="left"/>
            </w:pPr>
            <w:r>
              <w:t xml:space="preserve">Remote Interpretation (video/telephone)</w:t>
            </w:r>
          </w:p>
        </w:tc>
        <w:tc>
          <w:tcPr/>
          <w:p>
            <w:pPr>
              <w:pStyle w:val="Compact"/>
              <w:jc w:val="left"/>
            </w:pPr>
            <w:r>
              <w:t xml:space="preserve">Per hour</w:t>
            </w:r>
          </w:p>
        </w:tc>
        <w:tc>
          <w:tcPr/>
          <w:p>
            <w:pPr>
              <w:pStyle w:val="Compact"/>
              <w:jc w:val="left"/>
            </w:pPr>
            <w:r>
              <w:t xml:space="preserve">95.00</w:t>
            </w:r>
          </w:p>
        </w:tc>
        <w:tc>
          <w:tcPr/>
          <w:p>
            <w:pPr>
              <w:pStyle w:val="Compact"/>
              <w:jc w:val="left"/>
            </w:pPr>
            <w:r>
              <w:t xml:space="preserve">20 hours</w:t>
            </w:r>
          </w:p>
        </w:tc>
        <w:tc>
          <w:tcPr/>
          <w:p>
            <w:pPr>
              <w:pStyle w:val="Compact"/>
              <w:jc w:val="left"/>
            </w:pPr>
            <w:r>
              <w:t xml:space="preserve">1,900.00</w:t>
            </w:r>
          </w:p>
        </w:tc>
      </w:tr>
      <w:tr>
        <w:tc>
          <w:tcPr/>
          <w:p>
            <w:pPr>
              <w:pStyle w:val="Compact"/>
              <w:jc w:val="left"/>
            </w:pPr>
            <w:r>
              <w:t xml:space="preserve">Travel &amp; Accommodation (within Moscow Oblast)</w:t>
            </w:r>
          </w:p>
        </w:tc>
        <w:tc>
          <w:tcPr/>
          <w:p>
            <w:pPr>
              <w:pStyle w:val="Compact"/>
              <w:jc w:val="left"/>
            </w:pPr>
            <w:r>
              <w:t xml:space="preserve">Flat fee</w:t>
            </w:r>
          </w:p>
        </w:tc>
        <w:tc>
          <w:tcPr/>
          <w:p>
            <w:pPr>
              <w:pStyle w:val="Compact"/>
              <w:jc w:val="left"/>
            </w:pPr>
            <w:r>
              <w:t xml:space="preserve">1.00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Equipment Rental (simultaneous interpretation booth, headsets)</w:t>
            </w:r>
          </w:p>
        </w:tc>
        <w:tc>
          <w:tcPr/>
          <w:p>
            <w:pPr>
              <w:pStyle w:val="Compact"/>
              <w:jc w:val="left"/>
            </w:pPr>
            <w:r>
              <w:t xml:space="preserve">Flat fee</w:t>
            </w:r>
          </w:p>
        </w:tc>
        <w:tc>
          <w:tcPr/>
          <w:p>
            <w:pPr>
              <w:pStyle w:val="Compact"/>
              <w:jc w:val="left"/>
            </w:pPr>
            <w:r>
              <w:t xml:space="preserve">1.00</w:t>
            </w:r>
          </w:p>
        </w:tc>
        <w:tc>
          <w:tcPr/>
          <w:p>
            <w:pPr>
              <w:pStyle w:val="Compact"/>
              <w:jc w:val="left"/>
            </w:pPr>
            <w:r>
              <w:t xml:space="preserve">1</w:t>
            </w:r>
          </w:p>
        </w:tc>
        <w:tc>
          <w:tcPr/>
          <w:p>
            <w:pPr>
              <w:pStyle w:val="Compact"/>
              <w:jc w:val="left"/>
            </w:pPr>
            <w:r>
              <w:t xml:space="preserve">850.00</w:t>
            </w:r>
          </w:p>
        </w:tc>
      </w:tr>
      <w:tr>
        <w:tc>
          <w:tcPr>
            <w:gridSpan w:val="4"/>
          </w:tcPr>
          <w:p>
            <w:pPr>
              <w:pStyle w:val="Compact"/>
              <w:jc w:val="left"/>
            </w:pPr>
            <w:r>
              <w:rPr>
                <w:bCs/>
                <w:b/>
              </w:rPr>
              <w:t xml:space="preserve">TOTAL ESTIMATED COST</w:t>
            </w:r>
          </w:p>
        </w:tc>
        <w:tc>
          <w:tcPr/>
          <w:p>
            <w:pPr>
              <w:pStyle w:val="Compact"/>
              <w:jc w:val="left"/>
            </w:pPr>
            <w:r>
              <w:rPr>
                <w:bCs/>
                <w:b/>
              </w:rPr>
              <w:t xml:space="preserve">17,585.00</w:t>
            </w:r>
          </w:p>
        </w:tc>
      </w:tr>
    </w:tbl>
    <w:p>
      <w:pPr>
        <w:pStyle w:val="BodyText"/>
      </w:pPr>
      <w:r>
        <w:rPr>
          <w:iCs/>
          <w:i/>
        </w:rPr>
        <w:t xml:space="preserve">All rates are quoted in United States Dollars (USD). Applicable Russian Value Added Tax (VAT) at 20% will be added to the final invoice if the Client is not registered for VAT exemption under applicable international agreements. The total amount including VAT would be USD 21,102.00.</w:t>
      </w:r>
    </w:p>
    <w:bookmarkEnd w:id="23"/>
    <w:bookmarkStart w:id="24" w:name="X44cad5dba7eb44273d27c5781fbc30b57b7dcac"/>
    <w:p>
      <w:pPr>
        <w:pStyle w:val="Heading2"/>
      </w:pPr>
      <w:r>
        <w:t xml:space="preserve">4. Project Timeline &amp; Deployment in Russia Moscow</w:t>
      </w:r>
    </w:p>
    <w:p>
      <w:pPr>
        <w:pStyle w:val="FirstParagraph"/>
      </w:pPr>
      <w:r>
        <w:t xml:space="preserve">The</w:t>
      </w:r>
      <w:r>
        <w:t xml:space="preserve"> </w:t>
      </w:r>
      <w:r>
        <w:t xml:space="preserve">Translator Interpreter</w:t>
      </w:r>
      <w:r>
        <w:t xml:space="preserve"> </w:t>
      </w:r>
      <w:r>
        <w:t xml:space="preserve">shall be available for deployment in</w:t>
      </w:r>
      <w:r>
        <w:t xml:space="preserve"> </w:t>
      </w:r>
      <w:r>
        <w:t xml:space="preserve">Russia Moscow</w:t>
      </w:r>
      <w:r>
        <w:t xml:space="preserve"> </w:t>
      </w:r>
      <w:r>
        <w:t xml:space="preserve">commencing on 1 August 2025 and concluding on 30 September 2025, unless otherwise agreed in writing. The</w:t>
      </w:r>
      <w:r>
        <w:t xml:space="preserve"> </w:t>
      </w:r>
      <w:r>
        <w:t xml:space="preserve">Quotation Estimate</w:t>
      </w:r>
      <w:r>
        <w:t xml:space="preserve"> </w:t>
      </w:r>
      <w:r>
        <w:t xml:space="preserve">assumes a standard working schedule of Monday through Friday, 09:00 to 18:00 Moscow Standard Time (MSK, UTC+3). Any work performed outside these hours, on weekends, or on Russian public holidays shall be subject to a 50% surcharge as detailed in the supplementary rate schedule.</w:t>
      </w:r>
    </w:p>
    <w:p>
      <w:pPr>
        <w:pStyle w:val="BodyText"/>
      </w:pPr>
      <w:r>
        <w:t xml:space="preserve">The</w:t>
      </w:r>
      <w:r>
        <w:t xml:space="preserve"> </w:t>
      </w:r>
      <w:r>
        <w:t xml:space="preserve">Translator Interpreter</w:t>
      </w:r>
      <w:r>
        <w:t xml:space="preserve"> </w:t>
      </w:r>
      <w:r>
        <w:t xml:space="preserve">will be based in the Central Administrative District of Moscow and will travel to the Client's designated locations within the city and the Moscow Oblast as required. A minimum of 48 hours' advance notice is required for scheduling on-site interpretation assignments in</w:t>
      </w:r>
      <w:r>
        <w:t xml:space="preserve"> </w:t>
      </w:r>
      <w:r>
        <w:t xml:space="preserve">Russia Moscow</w:t>
      </w:r>
      <w:r>
        <w:t xml:space="preserve">.</w:t>
      </w:r>
    </w:p>
    <w:bookmarkEnd w:id="24"/>
    <w:bookmarkStart w:id="25" w:name="X9b9ecb97611c848e72f378b20d7d50f48118154"/>
    <w:p>
      <w:pPr>
        <w:pStyle w:val="Heading2"/>
      </w:pPr>
      <w:r>
        <w:t xml:space="preserve">5. Qualifications of the Translator Interpreter</w:t>
      </w:r>
    </w:p>
    <w:p>
      <w:pPr>
        <w:pStyle w:val="FirstParagraph"/>
      </w:pPr>
      <w:r>
        <w:t xml:space="preserve">The</w:t>
      </w:r>
      <w:r>
        <w:t xml:space="preserve"> </w:t>
      </w:r>
      <w:r>
        <w:t xml:space="preserve">Translator Interpreter</w:t>
      </w:r>
      <w:r>
        <w:t xml:space="preserve"> </w:t>
      </w:r>
      <w:r>
        <w:t xml:space="preserve">assigned to this project holds a minimum of a Master's degree in Translation and Interpreting from a recognized university, possesses a minimum of eight (8) years of professional experience in the target language pair, and is a certified member of the International Association of Conference Interpreters (AIIC) or the American Translators Association (ATA). The professional is fully familiar with the legal, commercial, and cultural environment of</w:t>
      </w:r>
      <w:r>
        <w:t xml:space="preserve"> </w:t>
      </w:r>
      <w:r>
        <w:t xml:space="preserve">Russia Moscow</w:t>
      </w:r>
      <w:r>
        <w:t xml:space="preserve"> </w:t>
      </w:r>
      <w:r>
        <w:t xml:space="preserve">and is proficient in the specific industry terminology relevant to the Client's sector. All</w:t>
      </w:r>
      <w:r>
        <w:t xml:space="preserve"> </w:t>
      </w:r>
      <w:r>
        <w:t xml:space="preserve">Translator Interpreter</w:t>
      </w:r>
      <w:r>
        <w:t xml:space="preserve"> </w:t>
      </w:r>
      <w:r>
        <w:t xml:space="preserve">personnel are subject to a non-disclosure agreement (NDA) prior to commencing work.</w:t>
      </w:r>
    </w:p>
    <w:bookmarkEnd w:id="25"/>
    <w:bookmarkStart w:id="26" w:name="payment-terms"/>
    <w:p>
      <w:pPr>
        <w:pStyle w:val="Heading2"/>
      </w:pPr>
      <w:r>
        <w:t xml:space="preserve">6. Payment Terms</w:t>
      </w:r>
    </w:p>
    <w:p>
      <w:pPr>
        <w:pStyle w:val="FirstParagraph"/>
      </w:pPr>
      <w:r>
        <w:t xml:space="preserve">Payment for services rendered under this</w:t>
      </w:r>
      <w:r>
        <w:t xml:space="preserve"> </w:t>
      </w:r>
      <w:r>
        <w:t xml:space="preserve">Quotation Estimate</w:t>
      </w:r>
      <w:r>
        <w:t xml:space="preserve"> </w:t>
      </w:r>
      <w:r>
        <w:t xml:space="preserve">shall be made within thirty (30) calendar days of the date of invoice issuance. A 40% advance payment is required to confirm the booking of the</w:t>
      </w:r>
      <w:r>
        <w:t xml:space="preserve"> </w:t>
      </w:r>
      <w:r>
        <w:t xml:space="preserve">Translator Interpreter</w:t>
      </w:r>
      <w:r>
        <w:t xml:space="preserve"> </w:t>
      </w:r>
      <w:r>
        <w:t xml:space="preserve">in</w:t>
      </w:r>
      <w:r>
        <w:t xml:space="preserve"> </w:t>
      </w:r>
      <w:r>
        <w:t xml:space="preserve">Russia Moscow</w:t>
      </w:r>
      <w:r>
        <w:t xml:space="preserve">. The remaining 60% balance shall be invoiced upon completion of the engagement. Payments may be made via international wire transfer (SWIFT) to the account details provided on the invoice. Late payments shall accrue interest at a rate of 1.5% per month.</w:t>
      </w:r>
    </w:p>
    <w:bookmarkEnd w:id="26"/>
    <w:bookmarkStart w:id="27" w:name="terms-and-conditions"/>
    <w:p>
      <w:pPr>
        <w:pStyle w:val="Heading2"/>
      </w:pPr>
      <w:r>
        <w:t xml:space="preserve">7.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this period, rates may be revised to reflect changes in market conditions in</w:t>
      </w:r>
      <w:r>
        <w:t xml:space="preserve"> </w:t>
      </w:r>
      <w:r>
        <w:t xml:space="preserve">Russia Moscow</w:t>
      </w:r>
      <w:r>
        <w:t xml:space="preserve">.</w:t>
      </w:r>
    </w:p>
    <w:p>
      <w:pPr>
        <w:numPr>
          <w:ilvl w:val="0"/>
          <w:numId w:val="1002"/>
        </w:numPr>
        <w:pStyle w:val="Compact"/>
      </w:pPr>
      <w:r>
        <w:t xml:space="preserve">The</w:t>
      </w:r>
      <w:r>
        <w:t xml:space="preserve"> </w:t>
      </w:r>
      <w:r>
        <w:t xml:space="preserve">Translator Interpreter</w:t>
      </w:r>
      <w:r>
        <w:t xml:space="preserve"> </w:t>
      </w:r>
      <w:r>
        <w:t xml:space="preserve">reserves the right to decline assignments that involve content contrary to Russian federal law or international sanctions regulations.</w:t>
      </w:r>
    </w:p>
    <w:p>
      <w:pPr>
        <w:numPr>
          <w:ilvl w:val="0"/>
          <w:numId w:val="1002"/>
        </w:numPr>
        <w:pStyle w:val="Compact"/>
      </w:pPr>
      <w:r>
        <w:t xml:space="preserve">All translations and interpretations are provided on a best-efforts basis. While the</w:t>
      </w:r>
      <w:r>
        <w:t xml:space="preserve"> </w:t>
      </w:r>
      <w:r>
        <w:t xml:space="preserve">Translator Interpreter</w:t>
      </w:r>
      <w:r>
        <w:t xml:space="preserve"> </w:t>
      </w:r>
      <w:r>
        <w:t xml:space="preserve">exercises the highest degree of professional diligence, no liability is accepted for consequential losses arising from the use of translated materials.</w:t>
      </w:r>
    </w:p>
    <w:p>
      <w:pPr>
        <w:numPr>
          <w:ilvl w:val="0"/>
          <w:numId w:val="1002"/>
        </w:numPr>
        <w:pStyle w:val="Compact"/>
      </w:pPr>
      <w:r>
        <w:t xml:space="preserve">Cancellation by the Client within 72 hours of a scheduled on-site assignment in</w:t>
      </w:r>
      <w:r>
        <w:t xml:space="preserve"> </w:t>
      </w:r>
      <w:r>
        <w:t xml:space="preserve">Russia Moscow</w:t>
      </w:r>
      <w:r>
        <w:t xml:space="preserve"> </w:t>
      </w:r>
      <w:r>
        <w:t xml:space="preserve">will incur a 50% fee of the booked hours. Cancellations within 24 hours will incur a 100% fee.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2"/>
        </w:numPr>
        <w:pStyle w:val="Compact"/>
      </w:pPr>
      <w:r>
        <w:t xml:space="preserve">Governing law: The laws of the Russian Federation. Disputes shall be resolved by arbitration in Moscow under the rules of the International Commercial Arbitration Court at the Chamber of Commerce and Industry of the Russian Federation.</w:t>
      </w:r>
    </w:p>
    <w:bookmarkEnd w:id="27"/>
    <w:bookmarkStart w:id="28" w:name="acceptance"/>
    <w:p>
      <w:pPr>
        <w:pStyle w:val="Heading2"/>
      </w:pPr>
      <w:r>
        <w:t xml:space="preserve">8.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in</w:t>
      </w:r>
      <w:r>
        <w:t xml:space="preserve"> </w:t>
      </w:r>
      <w:r>
        <w:t xml:space="preserve">Russia Moscow</w:t>
      </w:r>
      <w:r>
        <w:t xml:space="preserve"> </w:t>
      </w:r>
      <w:r>
        <w:t xml:space="preserve">and agrees to the terms and conditions set forth herein. This acceptance does not obligate either party to enter into a binding contract until a separate Service Agreement is formally executed.</w:t>
      </w:r>
    </w:p>
    <w:bookmarkEnd w:id="28"/>
    <w:p>
      <w:pPr>
        <w:pStyle w:val="BodyText"/>
      </w:pPr>
      <w:r>
        <w:rPr>
          <w:bCs/>
          <w:b/>
        </w:rPr>
        <w:t xml:space="preserve">For Lingua Bridge International LLC</w:t>
      </w:r>
      <w:r>
        <w:br/>
      </w:r>
      <w:r>
        <w:t xml:space="preserve">Authorized Signatory</w:t>
      </w:r>
      <w:r>
        <w:br/>
      </w:r>
      <w:r>
        <w:t xml:space="preserve">Date: _______________</w:t>
      </w:r>
    </w:p>
    <w:p>
      <w:pPr>
        <w:pStyle w:val="BodyText"/>
      </w:pPr>
      <w:r>
        <w:rPr>
          <w:bCs/>
          <w:b/>
        </w:rPr>
        <w:t xml:space="preserve">For the Client</w:t>
      </w:r>
      <w:r>
        <w:br/>
      </w:r>
      <w:r>
        <w:t xml:space="preserve">Authorized Signatory</w:t>
      </w:r>
      <w:r>
        <w:br/>
      </w:r>
      <w:r>
        <w:t xml:space="preserve">Date: _______________</w:t>
      </w:r>
    </w:p>
    <w:p>
      <w:pPr>
        <w:pStyle w:val="BodyText"/>
      </w:pPr>
      <w:r>
        <w:t xml:space="preserve">Lingua Bridge International LLC — 12 Tverskaya Street, Office 405, Moscow, 125009, Russian Federation</w:t>
      </w:r>
      <w:r>
        <w:br/>
      </w:r>
      <w:r>
        <w:t xml:space="preserve">Tel: +7 (495) 000-0000  |  Email: quotes@linguabridge-intl.com  |  Reg. No. 7700000000</w:t>
      </w:r>
      <w:r>
        <w:br/>
      </w:r>
      <w:r>
        <w:t xml:space="preserve">This Quotation Estimate is confidential and intended solely for the named Client.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Russia Moscow</dc:title>
  <dc:creator/>
  <dc:language>en</dc:language>
  <cp:keywords/>
  <dcterms:created xsi:type="dcterms:W3CDTF">2026-10-10T02:57:14Z</dcterms:created>
  <dcterms:modified xsi:type="dcterms:W3CDTF">2026-10-10T02:57:14Z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