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Translator Interpreter Services — Saudi Arabia Riyadh</w:t>
      </w:r>
    </w:p>
    <w:p>
      <w:pPr>
        <w:pStyle w:val="BodyText"/>
      </w:pPr>
      <w:r>
        <w:t xml:space="preserve">LinguaBridge Professional Translation &amp; Interpretation Co. Ltd.</w:t>
      </w:r>
      <w:r>
        <w:br/>
      </w:r>
      <w:r>
        <w:t xml:space="preserve">Office 1204, Kingdom Tower, King Fahd Road, Riyadh 12211, Saudi Arabia</w:t>
      </w:r>
      <w:r>
        <w:br/>
      </w:r>
      <w:r>
        <w:t xml:space="preserve">Tel: +966-11-456-7890  |  Email: quotations@linguabridge-sa.com  |  CR: 1010XXXXXX</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QTE-2025-0714-RA</w:t>
            </w:r>
          </w:p>
        </w:tc>
      </w:tr>
      <w:tr>
        <w:tc>
          <w:tcPr/>
          <w:p>
            <w:pPr>
              <w:pStyle w:val="Compact"/>
              <w:jc w:val="left"/>
            </w:pPr>
            <w:r>
              <w:t xml:space="preserve">Date of Issue</w:t>
            </w:r>
          </w:p>
        </w:tc>
        <w:tc>
          <w:tcPr/>
          <w:p>
            <w:pPr>
              <w:pStyle w:val="Compact"/>
              <w:jc w:val="left"/>
            </w:pPr>
            <w:r>
              <w:t xml:space="preserve">14 July 2025</w:t>
            </w:r>
          </w:p>
        </w:tc>
      </w:tr>
      <w:tr>
        <w:tc>
          <w:tcPr/>
          <w:p>
            <w:pPr>
              <w:pStyle w:val="Compact"/>
              <w:jc w:val="left"/>
            </w:pPr>
            <w:r>
              <w:t xml:space="preserve">Valid Until</w:t>
            </w:r>
          </w:p>
        </w:tc>
        <w:tc>
          <w:tcPr/>
          <w:p>
            <w:pPr>
              <w:pStyle w:val="Compact"/>
              <w:jc w:val="left"/>
            </w:pPr>
            <w:r>
              <w:t xml:space="preserve">13 August 2025 (30 calendar days)</w:t>
            </w:r>
          </w:p>
        </w:tc>
      </w:tr>
      <w:tr>
        <w:tc>
          <w:tcPr/>
          <w:p>
            <w:pPr>
              <w:pStyle w:val="Compact"/>
              <w:jc w:val="left"/>
            </w:pPr>
            <w:r>
              <w:t xml:space="preserve">Client / Recipient</w:t>
            </w:r>
          </w:p>
        </w:tc>
        <w:tc>
          <w:tcPr/>
          <w:p>
            <w:pPr>
              <w:pStyle w:val="Compact"/>
              <w:jc w:val="left"/>
            </w:pPr>
            <w:r>
              <w:t xml:space="preserve">[Client Company Name], [Client Address], Riyadh, Saudi Arabia</w:t>
            </w:r>
          </w:p>
        </w:tc>
      </w:tr>
      <w:tr>
        <w:tc>
          <w:tcPr/>
          <w:p>
            <w:pPr>
              <w:pStyle w:val="Compact"/>
              <w:jc w:val="left"/>
            </w:pPr>
            <w:r>
              <w:t xml:space="preserve">Project Reference</w:t>
            </w:r>
          </w:p>
        </w:tc>
        <w:tc>
          <w:tcPr/>
          <w:p>
            <w:pPr>
              <w:pStyle w:val="Compact"/>
              <w:jc w:val="left"/>
            </w:pPr>
            <w:r>
              <w:t xml:space="preserve">Corporate Conference &amp; Ongoing Business Interpretation — Q3 2025</w:t>
            </w:r>
          </w:p>
        </w:tc>
      </w:tr>
      <w:tr>
        <w:tc>
          <w:tcPr/>
          <w:p>
            <w:pPr>
              <w:pStyle w:val="Compact"/>
              <w:jc w:val="left"/>
            </w:pPr>
            <w:r>
              <w:t xml:space="preserve">Prepared By</w:t>
            </w:r>
          </w:p>
        </w:tc>
        <w:tc>
          <w:tcPr/>
          <w:p>
            <w:pPr>
              <w:pStyle w:val="Compact"/>
              <w:jc w:val="left"/>
            </w:pPr>
            <w:r>
              <w:t xml:space="preserve">Sarah Al-Mutairi, Senior Account Manager</w:t>
            </w:r>
          </w:p>
        </w:tc>
      </w:tr>
    </w:tbl>
    <w:bookmarkStart w:id="21" w:name="X263d4477deef096e41a838c0cd7de139c1254a1"/>
    <w:p>
      <w:pPr>
        <w:pStyle w:val="Heading2"/>
      </w:pPr>
      <w:r>
        <w:t xml:space="preserve">1. Scope of Services — Translator Interpreter in Saudi Arabia Riyadh</w:t>
      </w:r>
    </w:p>
    <w:p>
      <w:pPr>
        <w:pStyle w:val="FirstParagraph"/>
      </w:pPr>
      <w:r>
        <w:t xml:space="preserve">This</w:t>
      </w:r>
      <w:r>
        <w:t xml:space="preserve"> </w:t>
      </w:r>
      <w:r>
        <w:t xml:space="preserve">Quotation Estimate</w:t>
      </w:r>
      <w:r>
        <w:t xml:space="preserve"> </w:t>
      </w:r>
      <w:r>
        <w:t xml:space="preserve">is issued by LinguaBridge Professional Translation &amp; Interpretation Co. Ltd. to provide a comprehensive and transparent cost breakdown for the engagement of a certified</w:t>
      </w:r>
      <w:r>
        <w:t xml:space="preserve"> </w:t>
      </w:r>
      <w:r>
        <w:t xml:space="preserve">Translator Interpreter</w:t>
      </w:r>
      <w:r>
        <w:t xml:space="preserve"> </w:t>
      </w:r>
      <w:r>
        <w:t xml:space="preserve">to deliver multilingual communication support within the city of</w:t>
      </w:r>
      <w:r>
        <w:t xml:space="preserve"> </w:t>
      </w:r>
      <w:r>
        <w:t xml:space="preserve">Saudi Arabia Riyadh</w:t>
      </w:r>
      <w:r>
        <w:t xml:space="preserve">. The services outlined below are designed to meet the linguistic, cultural, and professional requirements of international business operations, government liaison activities, and corporate events conducted in the capital region of the Kingdom of Saudi Arabia.</w:t>
      </w:r>
    </w:p>
    <w:p>
      <w:pPr>
        <w:pStyle w:val="BodyText"/>
      </w:pPr>
      <w:r>
        <w:t xml:space="preserve">Our</w:t>
      </w:r>
      <w:r>
        <w:t xml:space="preserve"> </w:t>
      </w:r>
      <w:r>
        <w:t xml:space="preserve">Translator Interpreter</w:t>
      </w:r>
      <w:r>
        <w:t xml:space="preserve"> </w:t>
      </w:r>
      <w:r>
        <w:t xml:space="preserve">team in</w:t>
      </w:r>
      <w:r>
        <w:t xml:space="preserve"> </w:t>
      </w:r>
      <w:r>
        <w:t xml:space="preserve">Saudi Arabia Riyadh</w:t>
      </w:r>
      <w:r>
        <w:t xml:space="preserve"> </w:t>
      </w:r>
      <w:r>
        <w:t xml:space="preserve">comprises native-level linguists specializing in Arabic (Modern Standard Arabic and Najdi dialect), English, French, German, and Mandarin Chinese. All interpreters hold recognized certifications from the Saudi Commission for Translation and Interpretation (SCTI) and possess a minimum of eight years of professional experience in high-stakes corporate, legal, medical, and diplomatic settings.</w:t>
      </w:r>
    </w:p>
    <w:bookmarkEnd w:id="21"/>
    <w:bookmarkStart w:id="22" w:name="itemized-services-and-rates"/>
    <w:p>
      <w:pPr>
        <w:pStyle w:val="Heading2"/>
      </w:pPr>
      <w:r>
        <w:t xml:space="preserve">2. Itemized Services and 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Simultaneous Interpretation — Corporate Board Meeting (Arabic ↔ English), on-site at client premises in Riyadh</w:t>
            </w:r>
          </w:p>
        </w:tc>
        <w:tc>
          <w:tcPr/>
          <w:p>
            <w:pPr>
              <w:pStyle w:val="Compact"/>
              <w:jc w:val="left"/>
            </w:pPr>
            <w:r>
              <w:t xml:space="preserve">Per hour</w:t>
            </w:r>
          </w:p>
        </w:tc>
        <w:tc>
          <w:tcPr/>
          <w:p>
            <w:pPr>
              <w:pStyle w:val="Compact"/>
              <w:jc w:val="left"/>
            </w:pPr>
            <w:r>
              <w:t xml:space="preserve">8 hrs</w:t>
            </w:r>
          </w:p>
        </w:tc>
        <w:tc>
          <w:tcPr/>
          <w:p>
            <w:pPr>
              <w:pStyle w:val="Compact"/>
              <w:jc w:val="left"/>
            </w:pPr>
            <w:r>
              <w:t xml:space="preserve">1,200</w:t>
            </w:r>
          </w:p>
        </w:tc>
        <w:tc>
          <w:tcPr/>
          <w:p>
            <w:pPr>
              <w:pStyle w:val="Compact"/>
              <w:jc w:val="left"/>
            </w:pPr>
            <w:r>
              <w:t xml:space="preserve">9,600</w:t>
            </w:r>
          </w:p>
        </w:tc>
      </w:tr>
      <w:tr>
        <w:tc>
          <w:tcPr/>
          <w:p>
            <w:pPr>
              <w:pStyle w:val="Compact"/>
              <w:jc w:val="left"/>
            </w:pPr>
            <w:r>
              <w:t xml:space="preserve">2</w:t>
            </w:r>
          </w:p>
        </w:tc>
        <w:tc>
          <w:tcPr/>
          <w:p>
            <w:pPr>
              <w:pStyle w:val="Compact"/>
              <w:jc w:val="left"/>
            </w:pPr>
            <w:r>
              <w:t xml:space="preserve">Consecutive Interpretation — Government Regulatory Liaison (Arabic ↔ English), Ministry of Commerce, Riyadh</w:t>
            </w:r>
          </w:p>
        </w:tc>
        <w:tc>
          <w:tcPr/>
          <w:p>
            <w:pPr>
              <w:pStyle w:val="Compact"/>
              <w:jc w:val="left"/>
            </w:pPr>
            <w:r>
              <w:t xml:space="preserve">Per hour</w:t>
            </w:r>
          </w:p>
        </w:tc>
        <w:tc>
          <w:tcPr/>
          <w:p>
            <w:pPr>
              <w:pStyle w:val="Compact"/>
              <w:jc w:val="left"/>
            </w:pPr>
            <w:r>
              <w:t xml:space="preserve">12 hrs</w:t>
            </w:r>
          </w:p>
        </w:tc>
        <w:tc>
          <w:tcPr/>
          <w:p>
            <w:pPr>
              <w:pStyle w:val="Compact"/>
              <w:jc w:val="left"/>
            </w:pPr>
            <w:r>
              <w:t xml:space="preserve">1,050</w:t>
            </w:r>
          </w:p>
        </w:tc>
        <w:tc>
          <w:tcPr/>
          <w:p>
            <w:pPr>
              <w:pStyle w:val="Compact"/>
              <w:jc w:val="left"/>
            </w:pPr>
            <w:r>
              <w:t xml:space="preserve">12,600</w:t>
            </w:r>
          </w:p>
        </w:tc>
      </w:tr>
      <w:tr>
        <w:tc>
          <w:tcPr/>
          <w:p>
            <w:pPr>
              <w:pStyle w:val="Compact"/>
              <w:jc w:val="left"/>
            </w:pPr>
            <w:r>
              <w:t xml:space="preserve">3</w:t>
            </w:r>
          </w:p>
        </w:tc>
        <w:tc>
          <w:tcPr/>
          <w:p>
            <w:pPr>
              <w:pStyle w:val="Compact"/>
              <w:jc w:val="left"/>
            </w:pPr>
            <w:r>
              <w:t xml:space="preserve">Document Translation — Legal Contracts, Technical Manuals, and Compliance Reports (Arabic to English and vice versa)</w:t>
            </w:r>
          </w:p>
        </w:tc>
        <w:tc>
          <w:tcPr/>
          <w:p>
            <w:pPr>
              <w:pStyle w:val="Compact"/>
              <w:jc w:val="left"/>
            </w:pPr>
            <w:r>
              <w:t xml:space="preserve">Per 250 words</w:t>
            </w:r>
          </w:p>
        </w:tc>
        <w:tc>
          <w:tcPr/>
          <w:p>
            <w:pPr>
              <w:pStyle w:val="Compact"/>
              <w:jc w:val="left"/>
            </w:pPr>
            <w:r>
              <w:t xml:space="preserve">40 units</w:t>
            </w:r>
          </w:p>
        </w:tc>
        <w:tc>
          <w:tcPr/>
          <w:p>
            <w:pPr>
              <w:pStyle w:val="Compact"/>
              <w:jc w:val="left"/>
            </w:pPr>
            <w:r>
              <w:t xml:space="preserve">350</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Remote / Video-Conference Interpretation — Weekly Board Briefings (Arabic ↔ English), via secure platform</w:t>
            </w:r>
          </w:p>
        </w:tc>
        <w:tc>
          <w:tcPr/>
          <w:p>
            <w:pPr>
              <w:pStyle w:val="Compact"/>
              <w:jc w:val="left"/>
            </w:pPr>
            <w:r>
              <w:t xml:space="preserve">Per session (90 min)</w:t>
            </w:r>
          </w:p>
        </w:tc>
        <w:tc>
          <w:tcPr/>
          <w:p>
            <w:pPr>
              <w:pStyle w:val="Compact"/>
              <w:jc w:val="left"/>
            </w:pPr>
            <w:r>
              <w:t xml:space="preserve">12 sessions</w:t>
            </w:r>
          </w:p>
        </w:tc>
        <w:tc>
          <w:tcPr/>
          <w:p>
            <w:pPr>
              <w:pStyle w:val="Compact"/>
              <w:jc w:val="left"/>
            </w:pPr>
            <w:r>
              <w:t xml:space="preserve">900</w:t>
            </w:r>
          </w:p>
        </w:tc>
        <w:tc>
          <w:tcPr/>
          <w:p>
            <w:pPr>
              <w:pStyle w:val="Compact"/>
              <w:jc w:val="left"/>
            </w:pPr>
            <w:r>
              <w:t xml:space="preserve">10,800</w:t>
            </w:r>
          </w:p>
        </w:tc>
      </w:tr>
      <w:tr>
        <w:tc>
          <w:tcPr/>
          <w:p>
            <w:pPr>
              <w:pStyle w:val="Compact"/>
              <w:jc w:val="left"/>
            </w:pPr>
            <w:r>
              <w:t xml:space="preserve">5</w:t>
            </w:r>
          </w:p>
        </w:tc>
        <w:tc>
          <w:tcPr/>
          <w:p>
            <w:pPr>
              <w:pStyle w:val="Compact"/>
              <w:jc w:val="left"/>
            </w:pPr>
            <w:r>
              <w:t xml:space="preserve">On-Site Translator Interpreter Escort — VIP Delegation Reception, King Abdullah Financial District, Riyadh</w:t>
            </w:r>
          </w:p>
        </w:tc>
        <w:tc>
          <w:tcPr/>
          <w:p>
            <w:pPr>
              <w:pStyle w:val="Compact"/>
              <w:jc w:val="left"/>
            </w:pPr>
            <w:r>
              <w:t xml:space="preserve">Per day (8 hrs)</w:t>
            </w:r>
          </w:p>
        </w:tc>
        <w:tc>
          <w:tcPr/>
          <w:p>
            <w:pPr>
              <w:pStyle w:val="Compact"/>
              <w:jc w:val="left"/>
            </w:pPr>
            <w:r>
              <w:t xml:space="preserve">3 days</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Urgent / After-Hours Interpretation Support (evenings, weekends, public holidays in Saudi Arabia Riyadh)</w:t>
            </w:r>
          </w:p>
        </w:tc>
        <w:tc>
          <w:tcPr/>
          <w:p>
            <w:pPr>
              <w:pStyle w:val="Compact"/>
              <w:jc w:val="left"/>
            </w:pPr>
            <w:r>
              <w:t xml:space="preserve">Per hour</w:t>
            </w:r>
          </w:p>
        </w:tc>
        <w:tc>
          <w:tcPr/>
          <w:p>
            <w:pPr>
              <w:pStyle w:val="Compact"/>
              <w:jc w:val="left"/>
            </w:pPr>
            <w:r>
              <w:t xml:space="preserve">6 hrs</w:t>
            </w:r>
          </w:p>
        </w:tc>
        <w:tc>
          <w:tcPr/>
          <w:p>
            <w:pPr>
              <w:pStyle w:val="Compact"/>
              <w:jc w:val="left"/>
            </w:pPr>
            <w:r>
              <w:t xml:space="preserve">1,800</w:t>
            </w:r>
          </w:p>
        </w:tc>
        <w:tc>
          <w:tcPr/>
          <w:p>
            <w:pPr>
              <w:pStyle w:val="Compact"/>
              <w:jc w:val="left"/>
            </w:pPr>
            <w:r>
              <w:t xml:space="preserve">10,800</w:t>
            </w:r>
          </w:p>
        </w:tc>
      </w:tr>
      <w:tr>
        <w:tc>
          <w:tcPr/>
          <w:p>
            <w:pPr>
              <w:pStyle w:val="Compact"/>
              <w:jc w:val="left"/>
            </w:pPr>
            <w:r>
              <w:t xml:space="preserve">7</w:t>
            </w:r>
          </w:p>
        </w:tc>
        <w:tc>
          <w:tcPr/>
          <w:p>
            <w:pPr>
              <w:pStyle w:val="Compact"/>
              <w:jc w:val="left"/>
            </w:pPr>
            <w:r>
              <w:t xml:space="preserve">Project Management, Quality Assurance, and Linguistic Review of all deliverables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gridSpan w:val="5"/>
          </w:tcPr>
          <w:p>
            <w:pPr>
              <w:pStyle w:val="Compact"/>
              <w:jc w:val="right"/>
            </w:pPr>
            <w:r>
              <w:t xml:space="preserve">Subtotal</w:t>
            </w:r>
          </w:p>
        </w:tc>
        <w:tc>
          <w:tcPr/>
          <w:p>
            <w:pPr>
              <w:pStyle w:val="Compact"/>
              <w:jc w:val="left"/>
            </w:pPr>
            <w:r>
              <w:t xml:space="preserve">68,800</w:t>
            </w:r>
          </w:p>
        </w:tc>
      </w:tr>
      <w:tr>
        <w:tc>
          <w:tcPr>
            <w:gridSpan w:val="5"/>
          </w:tcPr>
          <w:p>
            <w:pPr>
              <w:pStyle w:val="Compact"/>
              <w:jc w:val="right"/>
            </w:pPr>
            <w:r>
              <w:t xml:space="preserve">VAT (15% — Kingdom of Saudi Arabia)</w:t>
            </w:r>
          </w:p>
        </w:tc>
        <w:tc>
          <w:tcPr/>
          <w:p>
            <w:pPr>
              <w:pStyle w:val="Compact"/>
              <w:jc w:val="left"/>
            </w:pPr>
            <w:r>
              <w:t xml:space="preserve">10,320</w:t>
            </w:r>
          </w:p>
        </w:tc>
      </w:tr>
      <w:tr>
        <w:tc>
          <w:tcPr>
            <w:gridSpan w:val="5"/>
          </w:tcPr>
          <w:p>
            <w:pPr>
              <w:pStyle w:val="Compact"/>
              <w:jc w:val="right"/>
            </w:pPr>
            <w:r>
              <w:t xml:space="preserve">TOTAL AMOUNT DUE (SAR)</w:t>
            </w:r>
          </w:p>
        </w:tc>
        <w:tc>
          <w:tcPr/>
          <w:p>
            <w:pPr>
              <w:pStyle w:val="Compact"/>
              <w:jc w:val="left"/>
            </w:pPr>
            <w:r>
              <w:t xml:space="preserve">79,120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Any request for services beyond this period will require a revised Quotation Estimate reflecting current market rates and availability of the Translator Interpreter team in Saudi Arabia Riyadh.</w:t>
      </w:r>
    </w:p>
    <w:p>
      <w:pPr>
        <w:numPr>
          <w:ilvl w:val="0"/>
          <w:numId w:val="1001"/>
        </w:numPr>
        <w:pStyle w:val="Compact"/>
      </w:pPr>
      <w:r>
        <w:rPr>
          <w:bCs/>
          <w:b/>
        </w:rPr>
        <w:t xml:space="preserve">Payment Terms:</w:t>
      </w:r>
      <w:r>
        <w:t xml:space="preserve"> </w:t>
      </w:r>
      <w:r>
        <w:t xml:space="preserve">A non-refundable deposit of 40% of the total amount is due upon acceptance of this Quotation Estimate. The remaining 60% shall be invoiced within five (5) business days of service completion and is payable within fourteen (14) calendar days of invoice date via bank transfer to our designated account in Riyadh.</w:t>
      </w:r>
    </w:p>
    <w:p>
      <w:pPr>
        <w:numPr>
          <w:ilvl w:val="0"/>
          <w:numId w:val="1001"/>
        </w:numPr>
        <w:pStyle w:val="Compact"/>
      </w:pPr>
      <w:r>
        <w:rPr>
          <w:bCs/>
          <w:b/>
        </w:rPr>
        <w:t xml:space="preserve">Cancellation Policy:</w:t>
      </w:r>
      <w:r>
        <w:t xml:space="preserve"> </w:t>
      </w:r>
      <w:r>
        <w:t xml:space="preserve">Cancellations made more than seven (7) business days prior to the scheduled service date will incur a 10% administrative fee. Cancellations within seven (7) business days will be subject to a 50% charge of the booked service value. No refunds are issued for services already rendered.</w:t>
      </w:r>
    </w:p>
    <w:p>
      <w:pPr>
        <w:numPr>
          <w:ilvl w:val="0"/>
          <w:numId w:val="1001"/>
        </w:numPr>
        <w:pStyle w:val="Compact"/>
      </w:pPr>
      <w:r>
        <w:rPr>
          <w:bCs/>
          <w:b/>
        </w:rPr>
        <w:t xml:space="preserve">Confidentiality:</w:t>
      </w:r>
      <w:r>
        <w:t xml:space="preserve"> </w:t>
      </w:r>
      <w:r>
        <w:t xml:space="preserve">All Translator Interpreter personnel engaged under this Quotation Estimate are bound by a strict Non-Disclosure Agreement (NDA) compliant with Saudi Arabian data protection regulations. No client information, documents, or meeting content will be disclosed to any third party.</w:t>
      </w:r>
    </w:p>
    <w:p>
      <w:pPr>
        <w:numPr>
          <w:ilvl w:val="0"/>
          <w:numId w:val="1001"/>
        </w:numPr>
        <w:pStyle w:val="Compact"/>
      </w:pPr>
      <w:r>
        <w:rPr>
          <w:bCs/>
          <w:b/>
        </w:rPr>
        <w:t xml:space="preserve">Service Location:</w:t>
      </w:r>
      <w:r>
        <w:t xml:space="preserve"> </w:t>
      </w:r>
      <w:r>
        <w:t xml:space="preserve">All on-site services will be performed within the boundaries of the Riyadh metropolitan area, Saudi Arabia. Travel to locations outside Riyadh (e.g., Jeddah, Dammam, NEOM) will be quoted separately.</w:t>
      </w:r>
    </w:p>
    <w:p>
      <w:pPr>
        <w:numPr>
          <w:ilvl w:val="0"/>
          <w:numId w:val="1001"/>
        </w:numPr>
        <w:pStyle w:val="Compact"/>
      </w:pPr>
      <w:r>
        <w:rPr>
          <w:bCs/>
          <w:b/>
        </w:rPr>
        <w:t xml:space="preserve">Quality Guarantee:</w:t>
      </w:r>
      <w:r>
        <w:t xml:space="preserve"> </w:t>
      </w:r>
      <w:r>
        <w:t xml:space="preserve">LinguaBridge guarantees that every Translator Interpreter assigned to this project will hold a valid SCTI certification and a minimum of eight years of relevant experience. In the event of a documented quality deficiency, the affected service segment will be re-performed at no additional cost.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operations in Saudi Arabia Riyadh.</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the Kingdom of Saudi Arabia. Any disputes shall be resolved through the competent courts in Riyadh.</w:t>
      </w:r>
    </w:p>
    <w:bookmarkEnd w:id="23"/>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LinguaBridge Professional Translation &amp; Interpretation Co. Ltd. to proceed with the engagement of the specified</w:t>
      </w:r>
      <w:r>
        <w:t xml:space="preserve"> </w:t>
      </w:r>
      <w:r>
        <w:t xml:space="preserve">Translator Interpreter</w:t>
      </w:r>
      <w:r>
        <w:t xml:space="preserve"> </w:t>
      </w:r>
      <w:r>
        <w:t xml:space="preserve">services in</w:t>
      </w:r>
      <w:r>
        <w:t xml:space="preserve"> </w:t>
      </w:r>
      <w:r>
        <w:t xml:space="preserve">Saudi Arabia Riyadh</w:t>
      </w:r>
      <w:r>
        <w:t xml:space="preserve"> </w:t>
      </w:r>
      <w:r>
        <w:t xml:space="preserve">as detailed herein.</w:t>
      </w:r>
    </w:p>
    <w:bookmarkStart w:id="24" w:name="X81013bb4d5a45ab6597ee4134bb0f073dfe4c8d"/>
    <w:p>
      <w:pPr>
        <w:pStyle w:val="Heading4"/>
      </w:pPr>
      <w:r>
        <w:t xml:space="preserve">For LinguaBridge Professional Translation &amp; Interpretation Co. Ltd.</w:t>
      </w:r>
    </w:p>
    <w:p>
      <w:pPr>
        <w:pStyle w:val="FirstParagraph"/>
      </w:pPr>
      <w:r>
        <w:t xml:space="preserve">Name: Sarah Al-Mutairi</w:t>
      </w:r>
    </w:p>
    <w:p>
      <w:pPr>
        <w:pStyle w:val="BodyText"/>
      </w:pPr>
      <w:r>
        <w:t xml:space="preserve">Title: Senior Account Manager</w:t>
      </w:r>
    </w:p>
    <w:p>
      <w:pPr>
        <w:pStyle w:val="BodyText"/>
      </w:pPr>
      <w:r>
        <w:t xml:space="preserve">Signature &amp; Date</w:t>
      </w:r>
    </w:p>
    <w:bookmarkEnd w:id="24"/>
    <w:bookmarkStart w:id="25" w:name="for-the-client"/>
    <w:p>
      <w:pPr>
        <w:pStyle w:val="Heading4"/>
      </w:pPr>
      <w:r>
        <w:t xml:space="preserve">For the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&amp; Date</w:t>
      </w:r>
    </w:p>
    <w:bookmarkEnd w:id="25"/>
    <w:p>
      <w:pPr>
        <w:pStyle w:val="BodyText"/>
      </w:pPr>
      <w:r>
        <w:t xml:space="preserve">This Quotation Estimate is a confidential commercial document issued exclusively for the named client. It does not constitute a binding contract until countersigned by both parties.</w:t>
      </w:r>
      <w:r>
        <w:t xml:space="preserve"> </w:t>
      </w:r>
      <w:r>
        <w:t xml:space="preserve">© 2025 LinguaBridge Professional Translation &amp; Interpretation Co. Ltd. — Riyadh, Saudi Arabia.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Saudi Arabia Riyadh</dc:title>
  <dc:creator/>
  <dc:language>en</dc:language>
  <cp:keywords/>
  <dcterms:created xsi:type="dcterms:W3CDTF">2026-10-10T02:29:39Z</dcterms:created>
  <dcterms:modified xsi:type="dcterms:W3CDTF">2026-10-10T02:29:39Z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