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University</w:t>
      </w:r>
      <w:r>
        <w:t xml:space="preserve"> </w:t>
      </w:r>
      <w:r>
        <w:t xml:space="preserve">Lecturer</w:t>
      </w:r>
      <w:r>
        <w:t xml:space="preserve"> </w:t>
      </w:r>
      <w:r>
        <w:t xml:space="preserve">-</w:t>
      </w:r>
      <w:r>
        <w:t xml:space="preserve"> </w:t>
      </w:r>
      <w:r>
        <w:t xml:space="preserve">Argentina</w:t>
      </w:r>
      <w:r>
        <w:t xml:space="preserve"> </w:t>
      </w:r>
      <w:r>
        <w:t xml:space="preserve">Córdoba</w:t>
      </w:r>
    </w:p>
    <w:bookmarkStart w:id="21" w:name="quotation-estimate"/>
    <w:p>
      <w:pPr>
        <w:pStyle w:val="Heading1"/>
      </w:pPr>
      <w:r>
        <w:t xml:space="preserve">QUOTATION ESTIMATE</w:t>
      </w:r>
    </w:p>
    <w:bookmarkStart w:id="20" w:name="Xe0071edf972eb213561c7ae294d17f25553fd44"/>
    <w:p>
      <w:pPr>
        <w:pStyle w:val="Heading2"/>
      </w:pPr>
      <w:r>
        <w:t xml:space="preserve">Professional Services – University Lecturer Engagement</w:t>
      </w:r>
    </w:p>
    <w:p>
      <w:pPr>
        <w:pStyle w:val="FirstParagraph"/>
      </w:pPr>
      <w:r>
        <w:t xml:space="preserve">Córdoba, Argentina | Academic Year 2025–2026</w:t>
      </w:r>
    </w:p>
    <w:bookmarkEnd w:id="20"/>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QTE-CBA-2025-0472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September 2025</w:t>
            </w:r>
          </w:p>
        </w:tc>
      </w:tr>
      <w:tr>
        <w:tc>
          <w:tcPr/>
          <w:p>
            <w:pPr>
              <w:pStyle w:val="Compact"/>
              <w:jc w:val="left"/>
            </w:pPr>
            <w:r>
              <w:t xml:space="preserve">Prepared For:</w:t>
            </w:r>
          </w:p>
        </w:tc>
        <w:tc>
          <w:tcPr/>
          <w:p>
            <w:pPr>
              <w:pStyle w:val="Compact"/>
              <w:jc w:val="left"/>
            </w:pPr>
            <w:r>
              <w:t xml:space="preserve">Facultad de Ciencias Exactas, Físicas y Naturales – Universidad Nacional de Córdoba, Argentina Córdoba</w:t>
            </w:r>
          </w:p>
        </w:tc>
      </w:tr>
      <w:tr>
        <w:tc>
          <w:tcPr/>
          <w:p>
            <w:pPr>
              <w:pStyle w:val="Compact"/>
              <w:jc w:val="left"/>
            </w:pPr>
            <w:r>
              <w:t xml:space="preserve">Prepared By:</w:t>
            </w:r>
          </w:p>
        </w:tc>
        <w:tc>
          <w:tcPr/>
          <w:p>
            <w:pPr>
              <w:pStyle w:val="Compact"/>
              <w:jc w:val="left"/>
            </w:pPr>
            <w:r>
              <w:t xml:space="preserve">Dr. Alejandro M. Fernández – Academic Recruitment &amp; Consulting Services, Córdoba, Argentina</w:t>
            </w:r>
          </w:p>
        </w:tc>
      </w:tr>
      <w:tr>
        <w:tc>
          <w:tcPr/>
          <w:p>
            <w:pPr>
              <w:pStyle w:val="Compact"/>
              <w:jc w:val="left"/>
            </w:pPr>
            <w:r>
              <w:t xml:space="preserve">Position:</w:t>
            </w:r>
          </w:p>
        </w:tc>
        <w:tc>
          <w:tcPr/>
          <w:p>
            <w:pPr>
              <w:pStyle w:val="Compact"/>
              <w:jc w:val="left"/>
            </w:pPr>
            <w:r>
              <w:t xml:space="preserve">University Lecturer (Cátedra Titular / Adjunto) – Department of Applied Mathematics</w:t>
            </w:r>
          </w:p>
        </w:tc>
      </w:tr>
      <w:tr>
        <w:tc>
          <w:tcPr/>
          <w:p>
            <w:pPr>
              <w:pStyle w:val="Compact"/>
              <w:jc w:val="left"/>
            </w:pPr>
            <w:r>
              <w:t xml:space="preserve">Location of Service:</w:t>
            </w:r>
          </w:p>
        </w:tc>
        <w:tc>
          <w:tcPr/>
          <w:p>
            <w:pPr>
              <w:pStyle w:val="Compact"/>
              <w:jc w:val="left"/>
            </w:pPr>
            <w:r>
              <w:t xml:space="preserve">Av. Vélez Sarsfield 950, X5000 Córdoba, Provincia de Córdoba, Argentina</w:t>
            </w:r>
          </w:p>
        </w:tc>
      </w:tr>
    </w:tbl>
    <w:bookmarkStart w:id="22" w:name="scope-of-the-quotation-estimate"/>
    <w:p>
      <w:pPr>
        <w:pStyle w:val="Heading3"/>
      </w:pPr>
      <w:r>
        <w:t xml:space="preserve">1. Scope of the Quotation Estimate</w:t>
      </w:r>
    </w:p>
    <w:p>
      <w:pPr>
        <w:pStyle w:val="FirstParagraph"/>
      </w:pPr>
      <w:r>
        <w:t xml:space="preserve">This Quotation Estimate is issued in response to the formal request submitted by the Universidad Nacional de Córdoba for the recruitment and engagement of a qualified University Lecturer to deliver undergraduate and postgraduate instruction within the Department of Applied Mathematics. The scope of this document encompasses all professional services, compensation components, and ancillary costs associated with the University Lecturer role as defined under the academic regulations of the institution and the labor framework applicable in Argentina Córdoba. This Quotation Estimate is structured to provide the university administration with a transparent, itemized breakdown of all financial obligations related to the engagement, ensuring full compliance with the provincial and national academic employment standards in force in the Province of Córdoba.</w:t>
      </w:r>
    </w:p>
    <w:bookmarkEnd w:id="22"/>
    <w:bookmarkStart w:id="23" w:name="X7092ebb7a1bb0706872c65d44420c6e79f85e9e"/>
    <w:p>
      <w:pPr>
        <w:pStyle w:val="Heading3"/>
      </w:pPr>
      <w:r>
        <w:t xml:space="preserve">2. Professional Services Rendered by the University Lecturer</w:t>
      </w:r>
    </w:p>
    <w:p>
      <w:pPr>
        <w:pStyle w:val="FirstParagraph"/>
      </w:pPr>
      <w:r>
        <w:t xml:space="preserve">The University Lecturer engaged under this Quotation Estimate shall be responsible for the following core academic duties within the institution located in Argentina Córdoba:</w:t>
      </w:r>
    </w:p>
    <w:p>
      <w:pPr>
        <w:numPr>
          <w:ilvl w:val="0"/>
          <w:numId w:val="1001"/>
        </w:numPr>
        <w:pStyle w:val="Compact"/>
      </w:pPr>
      <w:r>
        <w:t xml:space="preserve">Delivery of a minimum of 18 weekly hours of face-to-face instruction across two undergraduate courses (Cálculo Avanzado and Ecuaciones Diferenciales) and one postgraduate seminar (Modelado Matemático Aplicado).</w:t>
      </w:r>
    </w:p>
    <w:p>
      <w:pPr>
        <w:numPr>
          <w:ilvl w:val="0"/>
          <w:numId w:val="1001"/>
        </w:numPr>
        <w:pStyle w:val="Compact"/>
      </w:pPr>
      <w:r>
        <w:t xml:space="preserve">Supervision and evaluation of a maximum of 12 graduate thesis projects per academic year, in accordance with the doctoral program guidelines of the Universidad Nacional de Córdoba.</w:t>
      </w:r>
    </w:p>
    <w:p>
      <w:pPr>
        <w:numPr>
          <w:ilvl w:val="0"/>
          <w:numId w:val="1001"/>
        </w:numPr>
        <w:pStyle w:val="Compact"/>
      </w:pPr>
      <w:r>
        <w:t xml:space="preserve">Participation in academic committee meetings, curriculum review boards, and the annual academic planning sessions convened by the Faculty in Córdoba.</w:t>
      </w:r>
    </w:p>
    <w:p>
      <w:pPr>
        <w:numPr>
          <w:ilvl w:val="0"/>
          <w:numId w:val="1001"/>
        </w:numPr>
        <w:pStyle w:val="Compact"/>
      </w:pPr>
      <w:r>
        <w:t xml:space="preserve">Contribution to at least two peer-reviewed research publications per year in journals indexed in Scopus or Web of Science, with the university listed as the primary institutional affiliation in Argentina Córdoba.</w:t>
      </w:r>
    </w:p>
    <w:p>
      <w:pPr>
        <w:numPr>
          <w:ilvl w:val="0"/>
          <w:numId w:val="1001"/>
        </w:numPr>
        <w:pStyle w:val="Compact"/>
      </w:pPr>
      <w:r>
        <w:t xml:space="preserve">Mentoring and academic advising of no more than 25 undergraduate students per semester, including office hours and individualized study plan consultations.</w:t>
      </w:r>
    </w:p>
    <w:p>
      <w:pPr>
        <w:numPr>
          <w:ilvl w:val="0"/>
          <w:numId w:val="1001"/>
        </w:numPr>
        <w:pStyle w:val="Compact"/>
      </w:pPr>
      <w:r>
        <w:t xml:space="preserve">Representation of the university at national and international academic conferences, with a minimum of two presentations per academic year.</w:t>
      </w:r>
    </w:p>
    <w:bookmarkEnd w:id="23"/>
    <w:bookmarkStart w:id="24" w:name="X9731a520f2df829f1d1069be7bb81379a3f65c0"/>
    <w:p>
      <w:pPr>
        <w:pStyle w:val="Heading3"/>
      </w:pPr>
      <w:r>
        <w:t xml:space="preserve">3. Financial Breakdown – Quotation Estimate Details</w:t>
      </w:r>
    </w:p>
    <w:p>
      <w:pPr>
        <w:pStyle w:val="FirstParagraph"/>
      </w:pPr>
      <w:r>
        <w:t xml:space="preserve">The following table presents the itemized financial components of this Quotation Estimate for the University Lecturer engagement. All monetary values are expressed in Argentine Pesos (ARS) and are subject to the exchange rate and inflation adjustments established by the Banco Central de la República Argentina as of the date of contract execution.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Frequency</w:t>
            </w:r>
          </w:p>
        </w:tc>
        <w:tc>
          <w:tcPr/>
          <w:p>
            <w:pPr>
              <w:pStyle w:val="Compact"/>
              <w:jc w:val="left"/>
            </w:pPr>
            <w:r>
              <w:t xml:space="preserve">Amount (ARS)</w:t>
            </w:r>
          </w:p>
        </w:tc>
      </w:tr>
      <w:tr>
        <w:tc>
          <w:tcPr/>
          <w:p>
            <w:pPr>
              <w:pStyle w:val="Compact"/>
              <w:jc w:val="left"/>
            </w:pPr>
            <w:r>
              <w:t xml:space="preserve">3.1</w:t>
            </w:r>
          </w:p>
        </w:tc>
        <w:tc>
          <w:tcPr/>
          <w:p>
            <w:pPr>
              <w:pStyle w:val="Compact"/>
              <w:jc w:val="left"/>
            </w:pPr>
            <w:r>
              <w:t xml:space="preserve">Base Monthly Honorarium – University Lecturer (Cátedra Adjunta, 18 h/week)</w:t>
            </w:r>
          </w:p>
        </w:tc>
        <w:tc>
          <w:tcPr/>
          <w:p>
            <w:pPr>
              <w:pStyle w:val="Compact"/>
              <w:jc w:val="left"/>
            </w:pPr>
            <w:r>
              <w:t xml:space="preserve">Monthly</w:t>
            </w:r>
          </w:p>
        </w:tc>
        <w:tc>
          <w:tcPr/>
          <w:p>
            <w:pPr>
              <w:pStyle w:val="Compact"/>
              <w:jc w:val="left"/>
            </w:pPr>
            <w:r>
              <w:t xml:space="preserve">485,000.00</w:t>
            </w:r>
          </w:p>
        </w:tc>
      </w:tr>
      <w:tr>
        <w:tc>
          <w:tcPr/>
          <w:p>
            <w:pPr>
              <w:pStyle w:val="Compact"/>
              <w:jc w:val="left"/>
            </w:pPr>
            <w:r>
              <w:t xml:space="preserve">3.2</w:t>
            </w:r>
          </w:p>
        </w:tc>
        <w:tc>
          <w:tcPr/>
          <w:p>
            <w:pPr>
              <w:pStyle w:val="Compact"/>
              <w:jc w:val="left"/>
            </w:pPr>
            <w:r>
              <w:t xml:space="preserve">Research Productivity Bonus (annual, contingent on publications)</w:t>
            </w:r>
          </w:p>
        </w:tc>
        <w:tc>
          <w:tcPr/>
          <w:p>
            <w:pPr>
              <w:pStyle w:val="Compact"/>
              <w:jc w:val="left"/>
            </w:pPr>
            <w:r>
              <w:t xml:space="preserve">Annual</w:t>
            </w:r>
          </w:p>
        </w:tc>
        <w:tc>
          <w:tcPr/>
          <w:p>
            <w:pPr>
              <w:pStyle w:val="Compact"/>
              <w:jc w:val="left"/>
            </w:pPr>
            <w:r>
              <w:t xml:space="preserve">1,200,000.00</w:t>
            </w:r>
          </w:p>
        </w:tc>
      </w:tr>
      <w:tr>
        <w:tc>
          <w:tcPr/>
          <w:p>
            <w:pPr>
              <w:pStyle w:val="Compact"/>
              <w:jc w:val="left"/>
            </w:pPr>
            <w:r>
              <w:t xml:space="preserve">3.3</w:t>
            </w:r>
          </w:p>
        </w:tc>
        <w:tc>
          <w:tcPr/>
          <w:p>
            <w:pPr>
              <w:pStyle w:val="Compact"/>
              <w:jc w:val="left"/>
            </w:pPr>
            <w:r>
              <w:t xml:space="preserve">Thesis Supervision Allowance (per project, up to 12 projects)</w:t>
            </w:r>
          </w:p>
        </w:tc>
        <w:tc>
          <w:tcPr/>
          <w:p>
            <w:pPr>
              <w:pStyle w:val="Compact"/>
              <w:jc w:val="left"/>
            </w:pPr>
            <w:r>
              <w:t xml:space="preserve">Per project</w:t>
            </w:r>
          </w:p>
        </w:tc>
        <w:tc>
          <w:tcPr/>
          <w:p>
            <w:pPr>
              <w:pStyle w:val="Compact"/>
              <w:jc w:val="left"/>
            </w:pPr>
            <w:r>
              <w:t xml:space="preserve">45,000.00</w:t>
            </w:r>
          </w:p>
        </w:tc>
      </w:tr>
      <w:tr>
        <w:tc>
          <w:tcPr/>
          <w:p>
            <w:pPr>
              <w:pStyle w:val="Compact"/>
              <w:jc w:val="left"/>
            </w:pPr>
            <w:r>
              <w:t xml:space="preserve">3.4</w:t>
            </w:r>
          </w:p>
        </w:tc>
        <w:tc>
          <w:tcPr/>
          <w:p>
            <w:pPr>
              <w:pStyle w:val="Compact"/>
              <w:jc w:val="left"/>
            </w:pPr>
            <w:r>
              <w:t xml:space="preserve">Academic Conference Travel &amp; Presentation Stipend</w:t>
            </w:r>
          </w:p>
        </w:tc>
        <w:tc>
          <w:tcPr/>
          <w:p>
            <w:pPr>
              <w:pStyle w:val="Compact"/>
              <w:jc w:val="left"/>
            </w:pPr>
            <w:r>
              <w:t xml:space="preserve">Per event (max 2/year)</w:t>
            </w:r>
          </w:p>
        </w:tc>
        <w:tc>
          <w:tcPr/>
          <w:p>
            <w:pPr>
              <w:pStyle w:val="Compact"/>
              <w:jc w:val="left"/>
            </w:pPr>
            <w:r>
              <w:t xml:space="preserve">180,000.00</w:t>
            </w:r>
          </w:p>
        </w:tc>
      </w:tr>
      <w:tr>
        <w:tc>
          <w:tcPr/>
          <w:p>
            <w:pPr>
              <w:pStyle w:val="Compact"/>
              <w:jc w:val="left"/>
            </w:pPr>
            <w:r>
              <w:t xml:space="preserve">3.5</w:t>
            </w:r>
          </w:p>
        </w:tc>
        <w:tc>
          <w:tcPr/>
          <w:p>
            <w:pPr>
              <w:pStyle w:val="Compact"/>
              <w:jc w:val="left"/>
            </w:pPr>
            <w:r>
              <w:t xml:space="preserve">Professional Development &amp; Continuing Education Fund</w:t>
            </w:r>
          </w:p>
        </w:tc>
        <w:tc>
          <w:tcPr/>
          <w:p>
            <w:pPr>
              <w:pStyle w:val="Compact"/>
              <w:jc w:val="left"/>
            </w:pPr>
            <w:r>
              <w:t xml:space="preserve">Annual</w:t>
            </w:r>
          </w:p>
        </w:tc>
        <w:tc>
          <w:tcPr/>
          <w:p>
            <w:pPr>
              <w:pStyle w:val="Compact"/>
              <w:jc w:val="left"/>
            </w:pPr>
            <w:r>
              <w:t xml:space="preserve">95,000.00</w:t>
            </w:r>
          </w:p>
        </w:tc>
      </w:tr>
      <w:tr>
        <w:tc>
          <w:tcPr/>
          <w:p>
            <w:pPr>
              <w:pStyle w:val="Compact"/>
              <w:jc w:val="left"/>
            </w:pPr>
            <w:r>
              <w:t xml:space="preserve">3.6</w:t>
            </w:r>
          </w:p>
        </w:tc>
        <w:tc>
          <w:tcPr/>
          <w:p>
            <w:pPr>
              <w:pStyle w:val="Compact"/>
              <w:jc w:val="left"/>
            </w:pPr>
            <w:r>
              <w:t xml:space="preserve">Health Insurance Supplement (obra social complementaria)</w:t>
            </w:r>
          </w:p>
        </w:tc>
        <w:tc>
          <w:tcPr/>
          <w:p>
            <w:pPr>
              <w:pStyle w:val="Compact"/>
              <w:jc w:val="left"/>
            </w:pPr>
            <w:r>
              <w:t xml:space="preserve">Monthly</w:t>
            </w:r>
          </w:p>
        </w:tc>
        <w:tc>
          <w:tcPr/>
          <w:p>
            <w:pPr>
              <w:pStyle w:val="Compact"/>
              <w:jc w:val="left"/>
            </w:pPr>
            <w:r>
              <w:t xml:space="preserve">38,000.00</w:t>
            </w:r>
          </w:p>
        </w:tc>
      </w:tr>
      <w:tr>
        <w:tc>
          <w:tcPr/>
          <w:p>
            <w:pPr>
              <w:pStyle w:val="Compact"/>
              <w:jc w:val="left"/>
            </w:pPr>
            <w:r>
              <w:t xml:space="preserve">3.7</w:t>
            </w:r>
          </w:p>
        </w:tc>
        <w:tc>
          <w:tcPr/>
          <w:p>
            <w:pPr>
              <w:pStyle w:val="Compact"/>
              <w:jc w:val="left"/>
            </w:pPr>
            <w:r>
              <w:t xml:space="preserve">Annual Leave &amp; Statutory Benefits (proportional, per Argentine labor law)</w:t>
            </w:r>
          </w:p>
        </w:tc>
        <w:tc>
          <w:tcPr/>
          <w:p>
            <w:pPr>
              <w:pStyle w:val="Compact"/>
              <w:jc w:val="left"/>
            </w:pPr>
            <w:r>
              <w:t xml:space="preserve">Annual</w:t>
            </w:r>
          </w:p>
        </w:tc>
        <w:tc>
          <w:tcPr/>
          <w:p>
            <w:pPr>
              <w:pStyle w:val="Compact"/>
              <w:jc w:val="left"/>
            </w:pPr>
            <w:r>
              <w:t xml:space="preserve">310,000.00</w:t>
            </w:r>
          </w:p>
        </w:tc>
      </w:tr>
      <w:tr>
        <w:tc>
          <w:tcPr/>
          <w:p>
            <w:pPr>
              <w:pStyle w:val="Compact"/>
              <w:jc w:val="left"/>
            </w:pPr>
            <w:r>
              <w:t xml:space="preserve">3.8</w:t>
            </w:r>
          </w:p>
        </w:tc>
        <w:tc>
          <w:tcPr/>
          <w:p>
            <w:pPr>
              <w:pStyle w:val="Compact"/>
              <w:jc w:val="left"/>
            </w:pPr>
            <w:r>
              <w:t xml:space="preserve">Office &amp; Administrative Support Allocation (shared workspace, Córdoba campus)</w:t>
            </w:r>
          </w:p>
        </w:tc>
        <w:tc>
          <w:tcPr/>
          <w:p>
            <w:pPr>
              <w:pStyle w:val="Compact"/>
              <w:jc w:val="left"/>
            </w:pPr>
            <w:r>
              <w:t xml:space="preserve">Monthly</w:t>
            </w:r>
          </w:p>
        </w:tc>
        <w:tc>
          <w:tcPr/>
          <w:p>
            <w:pPr>
              <w:pStyle w:val="Compact"/>
              <w:jc w:val="left"/>
            </w:pPr>
            <w:r>
              <w:t xml:space="preserve">22,000.00</w:t>
            </w:r>
          </w:p>
        </w:tc>
      </w:tr>
      <w:tr>
        <w:tc>
          <w:tcPr/>
          <w:p>
            <w:pPr>
              <w:pStyle w:val="Compact"/>
              <w:jc w:val="left"/>
            </w:pPr>
            <w:r>
              <w:t xml:space="preserve">3.9</w:t>
            </w:r>
          </w:p>
        </w:tc>
        <w:tc>
          <w:tcPr/>
          <w:p>
            <w:pPr>
              <w:pStyle w:val="Compact"/>
              <w:jc w:val="left"/>
            </w:pPr>
            <w:r>
              <w:t xml:space="preserve">Onboarding &amp; Institutional Induction Program (one-time)</w:t>
            </w:r>
          </w:p>
        </w:tc>
        <w:tc>
          <w:tcPr/>
          <w:p>
            <w:pPr>
              <w:pStyle w:val="Compact"/>
              <w:jc w:val="left"/>
            </w:pPr>
            <w:r>
              <w:t xml:space="preserve">One-time</w:t>
            </w:r>
          </w:p>
        </w:tc>
        <w:tc>
          <w:tcPr/>
          <w:p>
            <w:pPr>
              <w:pStyle w:val="Compact"/>
              <w:jc w:val="left"/>
            </w:pPr>
            <w:r>
              <w:t xml:space="preserve">65,000.00</w:t>
            </w:r>
          </w:p>
        </w:tc>
      </w:tr>
      <w:tr>
        <w:tc>
          <w:tcPr/>
          <w:p>
            <w:pPr>
              <w:pStyle w:val="Compact"/>
              <w:jc w:val="left"/>
            </w:pPr>
            <w:r>
              <w:t xml:space="preserve">3.10</w:t>
            </w:r>
          </w:p>
        </w:tc>
        <w:tc>
          <w:tcPr/>
          <w:p>
            <w:pPr>
              <w:pStyle w:val="Compact"/>
              <w:jc w:val="left"/>
            </w:pPr>
            <w:r>
              <w:t xml:space="preserve">Contract Administration &amp; Legal Compliance Fee (recruitment agency)</w:t>
            </w:r>
          </w:p>
        </w:tc>
        <w:tc>
          <w:tcPr/>
          <w:p>
            <w:pPr>
              <w:pStyle w:val="Compact"/>
              <w:jc w:val="left"/>
            </w:pPr>
            <w:r>
              <w:t xml:space="preserve">One-time</w:t>
            </w:r>
          </w:p>
        </w:tc>
        <w:tc>
          <w:tcPr/>
          <w:p>
            <w:pPr>
              <w:pStyle w:val="Compact"/>
              <w:jc w:val="left"/>
            </w:pPr>
            <w:r>
              <w:t xml:space="preserve">120,000.00</w:t>
            </w:r>
          </w:p>
        </w:tc>
      </w:tr>
      <w:tr>
        <w:tc>
          <w:tcPr>
            <w:gridSpan w:val="3"/>
          </w:tcPr>
          <w:p>
            <w:pPr>
              <w:pStyle w:val="Compact"/>
              <w:jc w:val="left"/>
            </w:pPr>
            <w:r>
              <w:t xml:space="preserve">TOTAL ESTIMATED ANNUAL COST (Quotation Estimate)</w:t>
            </w:r>
          </w:p>
        </w:tc>
        <w:tc>
          <w:tcPr/>
          <w:p>
            <w:pPr>
              <w:pStyle w:val="Compact"/>
              <w:jc w:val="left"/>
            </w:pPr>
            <w:r>
              <w:t xml:space="preserve">9,872,000.00</w:t>
            </w:r>
          </w:p>
        </w:tc>
      </w:tr>
    </w:tbl>
    <w:bookmarkEnd w:id="24"/>
    <w:bookmarkStart w:id="25" w:name="X985eb999f0cfcda5f1af1a675bf0b7c2e0a6c64"/>
    <w:p>
      <w:pPr>
        <w:pStyle w:val="Heading3"/>
      </w:pPr>
      <w:r>
        <w:t xml:space="preserve">4. Terms and Conditions of This Quotation Estimate</w:t>
      </w:r>
    </w:p>
    <w:p>
      <w:pPr>
        <w:pStyle w:val="FirstParagraph"/>
      </w:pPr>
      <w:r>
        <w:t xml:space="preserve">The University Lecturer engagement governed by this Quotation Estimate shall be subject to the following terms, which are binding upon acceptance by both parties:</w:t>
      </w:r>
    </w:p>
    <w:p>
      <w:pPr>
        <w:numPr>
          <w:ilvl w:val="0"/>
          <w:numId w:val="1002"/>
        </w:numPr>
        <w:pStyle w:val="Compact"/>
      </w:pPr>
      <w:r>
        <w:t xml:space="preserve">This Quotation Estimate is valid for a period of ninety (90) calendar days from the date of issue. Beyond this period, all figures shall be subject to revision in light of the prevailing economic conditions in Argentina Córdoba, including but not limited to the official inflation index published by the Instituto Nacional de Estadística y Censos (INDEC).</w:t>
      </w:r>
    </w:p>
    <w:p>
      <w:pPr>
        <w:numPr>
          <w:ilvl w:val="0"/>
          <w:numId w:val="1002"/>
        </w:numPr>
        <w:pStyle w:val="Compact"/>
      </w:pPr>
      <w:r>
        <w:t xml:space="preserve">The contractual term for the University Lecturer position is one (1) academic year (February to December), renewable upon mutual written agreement and satisfactory performance evaluation conducted by the Faculty Board in Córdoba.</w:t>
      </w:r>
    </w:p>
    <w:p>
      <w:pPr>
        <w:numPr>
          <w:ilvl w:val="0"/>
          <w:numId w:val="1002"/>
        </w:numPr>
        <w:pStyle w:val="Compact"/>
      </w:pPr>
      <w:r>
        <w:t xml:space="preserve">All payments shall be processed via direct bank transfer to an account held at a financial institution operating within the Province of Córdoba, Argentina. Payment terms are net fifteen (15) days from the end of each calendar month.</w:t>
      </w:r>
    </w:p>
    <w:p>
      <w:pPr>
        <w:numPr>
          <w:ilvl w:val="0"/>
          <w:numId w:val="1002"/>
        </w:numPr>
        <w:pStyle w:val="Compact"/>
      </w:pPr>
      <w:r>
        <w:t xml:space="preserve">The University Lecturer shall be required to maintain a minimum residency or regular presence in the city of Córdoba for the duration of the engagement, in order to fulfill in-person teaching obligations and participate in faculty governance activities.</w:t>
      </w:r>
    </w:p>
    <w:p>
      <w:pPr>
        <w:numPr>
          <w:ilvl w:val="0"/>
          <w:numId w:val="1002"/>
        </w:numPr>
        <w:pStyle w:val="Compact"/>
      </w:pPr>
      <w:r>
        <w:t xml:space="preserve">Intellectual property arising from research conducted under this engagement shall be jointly owned by the University Lecturer and the Universidad Nacional de Córdoba, in accordance with the institutional IP policy and Argentine national intellectual property legislation (Ley 25.446).</w:t>
      </w:r>
    </w:p>
    <w:p>
      <w:pPr>
        <w:numPr>
          <w:ilvl w:val="0"/>
          <w:numId w:val="1002"/>
        </w:numPr>
        <w:pStyle w:val="Compact"/>
      </w:pPr>
      <w:r>
        <w:t xml:space="preserve">Either party may terminate the engagement with a written notice period of sixty (60) days, subject to the completion of any ongoing academic obligations to enrolled students.</w:t>
      </w:r>
    </w:p>
    <w:p>
      <w:pPr>
        <w:numPr>
          <w:ilvl w:val="0"/>
          <w:numId w:val="1002"/>
        </w:numPr>
        <w:pStyle w:val="Compact"/>
      </w:pPr>
      <w:r>
        <w:t xml:space="preserve">This Quotation Estimate does not constitute a binding employment contract until formally countersigned by the Rector's Office of the Universidad Nacional de Córdoba and the appointed University Lecturer.</w:t>
      </w:r>
    </w:p>
    <w:p>
      <w:pPr>
        <w:pStyle w:val="FirstParagraph"/>
      </w:pPr>
      <w:r>
        <w:rPr>
          <w:bCs/>
          <w:b/>
        </w:rPr>
        <w:t xml:space="preserve">Important Note:</w:t>
      </w:r>
      <w:r>
        <w:t xml:space="preserve"> </w:t>
      </w:r>
      <w:r>
        <w:t xml:space="preserve">This Quotation Estimate has been prepared in strict accordance with the academic employment regulations of the Universidad Nacional de Córdoba and the labor provisions of the Provincia de Córdoba, Argentina. All figures are estimates based on current salary scales and are subject to adjustment by the university's Finance Directorate prior to final contract execution. The University Lecturer is advised to consult with a licensed labor attorney in Córdoba regarding tax obligations (Impuesto a las Ganancias) and social security contributions (ANSES) applicable to academic professionals in Argentina.</w:t>
      </w:r>
    </w:p>
    <w:bookmarkEnd w:id="25"/>
    <w:bookmarkStart w:id="26" w:name="acceptance-and-authorization"/>
    <w:p>
      <w:pPr>
        <w:pStyle w:val="Heading3"/>
      </w:pPr>
      <w:r>
        <w:t xml:space="preserve">5. Acceptance and Authorization</w:t>
      </w:r>
    </w:p>
    <w:p>
      <w:pPr>
        <w:pStyle w:val="FirstParagraph"/>
      </w:pPr>
      <w:r>
        <w:t xml:space="preserve">By signing below, both parties acknowledge that they have read, understood, and agree to the terms set forth in this Quotation Estimate for the University Lecturer engagement in Argentina Córdoba.</w:t>
      </w:r>
    </w:p>
    <w:p>
      <w:pPr>
        <w:pStyle w:val="BodyText"/>
      </w:pPr>
      <w:r>
        <w:rPr>
          <w:bCs/>
          <w:b/>
        </w:rPr>
        <w:t xml:space="preserve">For the Universidad Nacional de Córdoba</w:t>
      </w:r>
      <w:r>
        <w:br/>
      </w:r>
      <w:r>
        <w:t xml:space="preserve">Rector's Office – Córdoba, Argentina</w:t>
      </w:r>
      <w:r>
        <w:br/>
      </w:r>
      <w:r>
        <w:t xml:space="preserve">Name: ___________________________</w:t>
      </w:r>
      <w:r>
        <w:br/>
      </w:r>
      <w:r>
        <w:t xml:space="preserve">Date: ___________________________</w:t>
      </w:r>
    </w:p>
    <w:p>
      <w:pPr>
        <w:pStyle w:val="BodyText"/>
      </w:pPr>
      <w:r>
        <w:rPr>
          <w:bCs/>
          <w:b/>
        </w:rPr>
        <w:t xml:space="preserve">For the University Lecturer</w:t>
      </w:r>
      <w:r>
        <w:br/>
      </w:r>
      <w:r>
        <w:t xml:space="preserve">Department of Applied Mathematics</w:t>
      </w:r>
      <w:r>
        <w:br/>
      </w:r>
      <w:r>
        <w:t xml:space="preserve">Name: ___________________________</w:t>
      </w:r>
      <w:r>
        <w:br/>
      </w:r>
      <w:r>
        <w:t xml:space="preserve">Date: ___________________________</w:t>
      </w:r>
    </w:p>
    <w:p>
      <w:pPr>
        <w:pStyle w:val="BodyText"/>
      </w:pPr>
      <w:r>
        <w:t xml:space="preserve">Quotation Estimate QTE-CBA-2025-0472 | Universidad Nacional de Córdoba – Argentina Córdoba | Page 1 of 1</w:t>
      </w:r>
    </w:p>
    <w:p>
      <w:pPr>
        <w:pStyle w:val="BodyText"/>
      </w:pPr>
      <w:r>
        <w:t xml:space="preserve">This document is the property of the Universidad Nacional de Córdoba. Unauthorized reproduction or distribution is prohibited under Argentine intellectual property law.</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University Lecturer - Argentina Córdoba</dc:title>
  <dc:creator/>
  <dc:language>en</dc:language>
  <cp:keywords/>
  <dcterms:created xsi:type="dcterms:W3CDTF">2026-10-10T04:25:20Z</dcterms:created>
  <dcterms:modified xsi:type="dcterms:W3CDTF">2026-10-10T04:25:20Z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