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Academic Engagement Services</w:t>
      </w:r>
    </w:p>
    <w:p>
      <w:pPr>
        <w:pStyle w:val="BodyText"/>
      </w:pPr>
      <w:r>
        <w:t xml:space="preserve">Specialising in University Lecturer Recruitment &amp; Placement</w:t>
      </w:r>
    </w:p>
    <w:p>
      <w:pPr>
        <w:pStyle w:val="BodyText"/>
      </w:pPr>
      <w:r>
        <w:t xml:space="preserve">Australia Melbourne</w:t>
      </w:r>
    </w:p>
    <w:bookmarkEnd w:id="20"/>
    <w:p>
      <w:pPr>
        <w:pStyle w:val="BodyText"/>
      </w:pPr>
      <w:r>
        <w:rPr>
          <w:bCs/>
          <w:b/>
        </w:rPr>
        <w:t xml:space="preserve">Quotation Reference:</w:t>
      </w:r>
      <w:r>
        <w:t xml:space="preserve"> </w:t>
      </w:r>
      <w:r>
        <w:t xml:space="preserve">QTE-2025-MEL-0472</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For:</w:t>
      </w:r>
      <w:r>
        <w:br/>
      </w:r>
      <w:r>
        <w:t xml:space="preserve">Faculty of Engineering &amp; Information Technology</w:t>
      </w:r>
      <w:r>
        <w:br/>
      </w:r>
      <w:r>
        <w:t xml:space="preserve">University of Melbourne</w:t>
      </w:r>
      <w:r>
        <w:br/>
      </w:r>
      <w:r>
        <w:t xml:space="preserve">Parkville, VIC 3010</w:t>
      </w:r>
      <w:r>
        <w:br/>
      </w:r>
      <w:r>
        <w:t xml:space="preserve">Australia Melbourne</w:t>
      </w:r>
    </w:p>
    <w:p>
      <w:pPr>
        <w:pStyle w:val="BodyText"/>
      </w:pPr>
      <w:r>
        <w:rPr>
          <w:bCs/>
          <w:b/>
        </w:rPr>
        <w:t xml:space="preserve">Prepared By:</w:t>
      </w:r>
      <w:r>
        <w:br/>
      </w:r>
      <w:r>
        <w:t xml:space="preserve">Dr. Sarah Mitchell, Director</w:t>
      </w:r>
      <w:r>
        <w:br/>
      </w:r>
      <w:r>
        <w:t xml:space="preserve">Academic Placement Solutions Pty Ltd</w:t>
      </w:r>
      <w:r>
        <w:br/>
      </w:r>
      <w:r>
        <w:t xml:space="preserve">Level 12, 333 Collins Street</w:t>
      </w:r>
      <w:r>
        <w:br/>
      </w:r>
      <w:r>
        <w:t xml:space="preserve">Melbourne, VIC 3000</w:t>
      </w:r>
      <w:r>
        <w:br/>
      </w:r>
      <w:r>
        <w:t xml:space="preserve">Australia Melbourne</w:t>
      </w:r>
    </w:p>
    <w:bookmarkStart w:id="21" w:name="purpose-of-this-quotation-estimate"/>
    <w:p>
      <w:pPr>
        <w:pStyle w:val="Heading2"/>
      </w:pPr>
      <w:r>
        <w:t xml:space="preserve">1. Purpose of This Quotation Estimate</w:t>
      </w:r>
    </w:p>
    <w:p>
      <w:pPr>
        <w:pStyle w:val="FirstParagraph"/>
      </w:pPr>
      <w:r>
        <w:t xml:space="preserve">This Quotation Estimate has been prepared in response to the formal request for professional services in the recruitment, vetting, and placement of a qualified University Lecturer for the Faculty of Engineering and Information Technology at the University of Melbourne. The scope of work outlined in this document encompasses all activities required to identify, assess, and onboard a suitably credentialed academic professional into a full-time University Lecturer position within the Australia Melbourne higher education sector.</w:t>
      </w:r>
    </w:p>
    <w:p>
      <w:pPr>
        <w:pStyle w:val="BodyText"/>
      </w:pPr>
      <w:r>
        <w:t xml:space="preserve">The Quotation Estimate reflects current market rates for academic recruitment services in Australia Melbourne as of the date of issue and is based on the specific requirements communicated by the hiring faculty during the initial consultation meeting held on 28 May 2025.</w:t>
      </w:r>
    </w:p>
    <w:bookmarkEnd w:id="21"/>
    <w:bookmarkStart w:id="22" w:name="scope-of-services"/>
    <w:p>
      <w:pPr>
        <w:pStyle w:val="Heading2"/>
      </w:pPr>
      <w:r>
        <w:t xml:space="preserve">2. Scope of Services</w:t>
      </w:r>
    </w:p>
    <w:p>
      <w:pPr>
        <w:pStyle w:val="FirstParagraph"/>
      </w:pPr>
      <w:r>
        <w:t xml:space="preserve">The following services are included in this Quotation Estimate for the University Lecturer engagement:</w:t>
      </w:r>
    </w:p>
    <w:p>
      <w:pPr>
        <w:numPr>
          <w:ilvl w:val="0"/>
          <w:numId w:val="1001"/>
        </w:numPr>
        <w:pStyle w:val="Compact"/>
      </w:pPr>
      <w:r>
        <w:t xml:space="preserve">Comprehensive job profile development and academic market analysis for the University Lecturer role within Australia Melbourne universities and research institutions.</w:t>
      </w:r>
    </w:p>
    <w:p>
      <w:pPr>
        <w:numPr>
          <w:ilvl w:val="0"/>
          <w:numId w:val="1001"/>
        </w:numPr>
        <w:pStyle w:val="Compact"/>
      </w:pPr>
      <w:r>
        <w:t xml:space="preserve">Targeted sourcing and headhunting of qualified candidates holding a PhD or equivalent terminal degree in the relevant discipline.</w:t>
      </w:r>
    </w:p>
    <w:p>
      <w:pPr>
        <w:numPr>
          <w:ilvl w:val="0"/>
          <w:numId w:val="1001"/>
        </w:numPr>
        <w:pStyle w:val="Compact"/>
      </w:pPr>
      <w:r>
        <w:t xml:space="preserve">Initial screening of academic credentials, publication records, teaching portfolios, and research output.</w:t>
      </w:r>
    </w:p>
    <w:p>
      <w:pPr>
        <w:numPr>
          <w:ilvl w:val="0"/>
          <w:numId w:val="1001"/>
        </w:numPr>
        <w:pStyle w:val="Compact"/>
      </w:pPr>
      <w:r>
        <w:t xml:space="preserve">Conducting structured interviews (minimum three rounds) including a teaching demonstration and research presentation.</w:t>
      </w:r>
    </w:p>
    <w:p>
      <w:pPr>
        <w:numPr>
          <w:ilvl w:val="0"/>
          <w:numId w:val="1001"/>
        </w:numPr>
        <w:pStyle w:val="Compact"/>
      </w:pPr>
      <w:r>
        <w:t xml:space="preserve">Verification of academic references, professional memberships, and Australian academic registration requirements.</w:t>
      </w:r>
    </w:p>
    <w:p>
      <w:pPr>
        <w:numPr>
          <w:ilvl w:val="0"/>
          <w:numId w:val="1001"/>
        </w:numPr>
        <w:pStyle w:val="Compact"/>
      </w:pPr>
      <w:r>
        <w:t xml:space="preserve">Assistance with visa sponsorship documentation where the University Lecturer candidate is an international applicant requiring a Temporary Skill Shortage (TSS) visa or equivalent.</w:t>
      </w:r>
    </w:p>
    <w:p>
      <w:pPr>
        <w:numPr>
          <w:ilvl w:val="0"/>
          <w:numId w:val="1001"/>
        </w:numPr>
        <w:pStyle w:val="Compact"/>
      </w:pPr>
      <w:r>
        <w:t xml:space="preserve">Onboarding support including orientation to the University of Melbourne's academic governance structures, teaching load expectations, and research funding frameworks specific to Australia Melbourne.</w:t>
      </w:r>
    </w:p>
    <w:p>
      <w:pPr>
        <w:numPr>
          <w:ilvl w:val="0"/>
          <w:numId w:val="1001"/>
        </w:numPr>
        <w:pStyle w:val="Compact"/>
      </w:pPr>
      <w:r>
        <w:t xml:space="preserve">Post-placement follow-up consultation at 30, 90, and 180 days to ensure the University Lecturer is fully integrated and performing to the agreed academic standards.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Job Profile Development &amp; Academic Market Research for University Lecturer position in Australia Melbourne</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Candidate Sourcing, Screening &amp; Initial Assessment (minimum 15 qualified candidates reviewed)</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Structured Interview Coordination &amp; Panel Facilitation (3 rounds including teaching demo)</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Academic Reference Verification &amp; Credential Authentication</w:t>
            </w:r>
          </w:p>
        </w:tc>
        <w:tc>
          <w:tcPr/>
          <w:p>
            <w:pPr>
              <w:pStyle w:val="Compact"/>
              <w:jc w:val="left"/>
            </w:pPr>
            <w:r>
              <w:t xml:space="preserve">Project</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Visa Sponsorship &amp; Immigration Documentation Support (if applicable)</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Contract Negotiation Assistance &amp; Academic Employment Terms Review</w:t>
            </w:r>
          </w:p>
        </w:tc>
        <w:tc>
          <w:tcPr/>
          <w:p>
            <w:pPr>
              <w:pStyle w:val="Compact"/>
              <w:jc w:val="left"/>
            </w:pPr>
            <w:r>
              <w:t xml:space="preserve">Project</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Onboarding &amp; Integration Support (first 12 weeks in Australia Melbourne)</w:t>
            </w:r>
          </w:p>
        </w:tc>
        <w:tc>
          <w:tcPr/>
          <w:p>
            <w:pPr>
              <w:pStyle w:val="Compact"/>
              <w:jc w:val="left"/>
            </w:pPr>
            <w:r>
              <w:t xml:space="preserve">Project</w:t>
            </w:r>
          </w:p>
        </w:tc>
        <w:tc>
          <w:tcPr/>
          <w:p>
            <w:pPr>
              <w:pStyle w:val="Compact"/>
              <w:jc w:val="left"/>
            </w:pPr>
            <w:r>
              <w:t xml:space="preserve">2,600.00</w:t>
            </w:r>
          </w:p>
        </w:tc>
        <w:tc>
          <w:tcPr/>
          <w:p>
            <w:pPr>
              <w:pStyle w:val="Compact"/>
              <w:jc w:val="left"/>
            </w:pPr>
            <w:r>
              <w:t xml:space="preserve">1</w:t>
            </w:r>
          </w:p>
        </w:tc>
        <w:tc>
          <w:tcPr/>
          <w:p>
            <w:pPr>
              <w:pStyle w:val="Compact"/>
              <w:jc w:val="left"/>
            </w:pPr>
            <w:r>
              <w:t xml:space="preserve">2,600.00</w:t>
            </w:r>
          </w:p>
        </w:tc>
      </w:tr>
      <w:tr>
        <w:tc>
          <w:tcPr/>
          <w:p>
            <w:pPr>
              <w:pStyle w:val="Compact"/>
              <w:jc w:val="left"/>
            </w:pPr>
            <w:r>
              <w:t xml:space="preserve">08</w:t>
            </w:r>
          </w:p>
        </w:tc>
        <w:tc>
          <w:tcPr/>
          <w:p>
            <w:pPr>
              <w:pStyle w:val="Compact"/>
              <w:jc w:val="left"/>
            </w:pPr>
            <w:r>
              <w:t xml:space="preserve">Post-Placement Follow-Up Consultations (30, 90, 180 days)</w:t>
            </w:r>
          </w:p>
        </w:tc>
        <w:tc>
          <w:tcPr/>
          <w:p>
            <w:pPr>
              <w:pStyle w:val="Compact"/>
              <w:jc w:val="left"/>
            </w:pPr>
            <w:r>
              <w:t xml:space="preserve">Session</w:t>
            </w:r>
          </w:p>
        </w:tc>
        <w:tc>
          <w:tcPr/>
          <w:p>
            <w:pPr>
              <w:pStyle w:val="Compact"/>
              <w:jc w:val="left"/>
            </w:pPr>
            <w:r>
              <w:t xml:space="preserve">600.00</w:t>
            </w:r>
          </w:p>
        </w:tc>
        <w:tc>
          <w:tcPr/>
          <w:p>
            <w:pPr>
              <w:pStyle w:val="Compact"/>
              <w:jc w:val="left"/>
            </w:pPr>
            <w:r>
              <w:t xml:space="preserve">3</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21,700.00</w:t>
            </w:r>
          </w:p>
        </w:tc>
      </w:tr>
      <w:tr>
        <w:tc>
          <w:tcPr>
            <w:gridSpan w:val="5"/>
          </w:tcPr>
          <w:p>
            <w:pPr>
              <w:pStyle w:val="Compact"/>
              <w:jc w:val="left"/>
            </w:pPr>
            <w:r>
              <w:t xml:space="preserve">GST (10%)</w:t>
            </w:r>
          </w:p>
        </w:tc>
        <w:tc>
          <w:tcPr/>
          <w:p>
            <w:pPr>
              <w:pStyle w:val="Compact"/>
              <w:jc w:val="left"/>
            </w:pPr>
            <w:r>
              <w:t xml:space="preserve">2,170.00</w:t>
            </w:r>
          </w:p>
        </w:tc>
      </w:tr>
      <w:tr>
        <w:tc>
          <w:tcPr>
            <w:gridSpan w:val="5"/>
          </w:tcPr>
          <w:p>
            <w:pPr>
              <w:pStyle w:val="Compact"/>
              <w:jc w:val="left"/>
            </w:pPr>
            <w:r>
              <w:rPr>
                <w:bCs/>
                <w:b/>
              </w:rPr>
              <w:t xml:space="preserve">TOTAL QUOTATION ESTIMATE (AUD)</w:t>
            </w:r>
          </w:p>
        </w:tc>
        <w:tc>
          <w:tcPr/>
          <w:p>
            <w:pPr>
              <w:pStyle w:val="Compact"/>
              <w:jc w:val="left"/>
            </w:pPr>
            <w:r>
              <w:rPr>
                <w:bCs/>
                <w:b/>
              </w:rPr>
              <w:t xml:space="preserve">23,870.00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30% deposit</w:t>
      </w:r>
      <w:r>
        <w:t xml:space="preserve"> </w:t>
      </w:r>
      <w:r>
        <w:t xml:space="preserve">(AUD 7,161.00) due upon acceptance of this Quotation Estimate and execution of the service agreement.</w:t>
      </w:r>
    </w:p>
    <w:p>
      <w:pPr>
        <w:numPr>
          <w:ilvl w:val="0"/>
          <w:numId w:val="1002"/>
        </w:numPr>
        <w:pStyle w:val="Compact"/>
      </w:pPr>
      <w:r>
        <w:rPr>
          <w:bCs/>
          <w:b/>
        </w:rPr>
        <w:t xml:space="preserve">40% milestone payment</w:t>
      </w:r>
      <w:r>
        <w:t xml:space="preserve"> </w:t>
      </w:r>
      <w:r>
        <w:t xml:space="preserve">(AUD 9,548.00) due upon successful completion of the interview process and issuance of a formal offer to the selected University Lecturer candidate.</w:t>
      </w:r>
    </w:p>
    <w:p>
      <w:pPr>
        <w:numPr>
          <w:ilvl w:val="0"/>
          <w:numId w:val="1002"/>
        </w:numPr>
        <w:pStyle w:val="Compact"/>
      </w:pPr>
      <w:r>
        <w:rPr>
          <w:bCs/>
          <w:b/>
        </w:rPr>
        <w:t xml:space="preserve">30% final payment</w:t>
      </w:r>
      <w:r>
        <w:t xml:space="preserve"> </w:t>
      </w:r>
      <w:r>
        <w:t xml:space="preserve">(AUD 7,161.00) due upon the University Lecturer's official commencement date and completion of the onboarding period.</w:t>
      </w:r>
    </w:p>
    <w:p>
      <w:pPr>
        <w:pStyle w:val="FirstParagraph"/>
      </w:pPr>
      <w:r>
        <w:t xml:space="preserve">All payments are to be made via direct bank transfer to the account details provided in the accompanying invoice. Payment is due within fourteen (14) calendar days of invoice issuance. Late payments will attract interest at the rate of 2% per month in accordance with Australian commercial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rates may be subject to revision based on prevailing market conditions in Australia Melbourne.</w:t>
      </w:r>
    </w:p>
    <w:p>
      <w:pPr>
        <w:numPr>
          <w:ilvl w:val="0"/>
          <w:numId w:val="1003"/>
        </w:numPr>
        <w:pStyle w:val="Compact"/>
      </w:pPr>
      <w:r>
        <w:t xml:space="preserve">All services described herein are to be performed in accordance with the Australian Higher Education Standards Framework (AHESF) and the relevant employment legislation of the State of Victoria.</w:t>
      </w:r>
    </w:p>
    <w:p>
      <w:pPr>
        <w:numPr>
          <w:ilvl w:val="0"/>
          <w:numId w:val="1003"/>
        </w:numPr>
        <w:pStyle w:val="Compact"/>
      </w:pPr>
      <w:r>
        <w:t xml:space="preserve">The University Lecturer candidate must meet the minimum academic qualifications as defined by the University of Melbourne's academic staffing policy, including a completed PhD, a minimum of three years post-doctoral research experience, and a demonstrable record of peer-reviewed publications.</w:t>
      </w:r>
    </w:p>
    <w:p>
      <w:pPr>
        <w:numPr>
          <w:ilvl w:val="0"/>
          <w:numId w:val="1003"/>
        </w:numPr>
        <w:pStyle w:val="Compact"/>
      </w:pPr>
      <w:r>
        <w:t xml:space="preserve">Academic Placement Solutions Pty Ltd shall maintain strict confidentiality regarding all candidate information, interview outcomes, and internal university discussions in compliance with the Privacy Act 1988 (Cth).</w:t>
      </w:r>
    </w:p>
    <w:p>
      <w:pPr>
        <w:numPr>
          <w:ilvl w:val="0"/>
          <w:numId w:val="1003"/>
        </w:numPr>
        <w:pStyle w:val="Compact"/>
      </w:pPr>
      <w:r>
        <w:t xml:space="preserve">Should the University Lecturer position be withdrawn by the client prior to the completion of the onboarding phase, a pro-rata refund of unperformed services will be issued, less any third-party costs already incurred (e.g., visa application fees).</w:t>
      </w:r>
    </w:p>
    <w:p>
      <w:pPr>
        <w:numPr>
          <w:ilvl w:val="0"/>
          <w:numId w:val="1003"/>
        </w:numPr>
        <w:pStyle w:val="Compact"/>
      </w:pPr>
      <w:r>
        <w:t xml:space="preserve">This Quotation Estimate does not constitute a guarantee of placement. The final hiring decision rests solely with the University of Melbourne's Faculty Board and the relevant Academic Board.</w:t>
      </w:r>
    </w:p>
    <w:p>
      <w:pPr>
        <w:numPr>
          <w:ilvl w:val="0"/>
          <w:numId w:val="1003"/>
        </w:numPr>
        <w:pStyle w:val="Compact"/>
      </w:pPr>
      <w:r>
        <w:t xml:space="preserve">All intellectual property developed during the engagement, including candidate databases and research reports, shall remain the property of Academic Placement Solutions Pty Ltd unless otherwise agreed in writing.</w:t>
      </w:r>
    </w:p>
    <w:p>
      <w:pPr>
        <w:numPr>
          <w:ilvl w:val="0"/>
          <w:numId w:val="1003"/>
        </w:numPr>
        <w:pStyle w:val="Compact"/>
      </w:pPr>
      <w:r>
        <w:t xml:space="preserve">Disputes arising from this Quotation Estimate shall be resolved through mediation in accordance with the Commercial Arbitration Act 2011 (Vic), with jurisdiction in the courts of Australia Melbourne.</w:t>
      </w:r>
    </w:p>
    <w:p>
      <w:pPr>
        <w:pStyle w:val="FirstParagraph"/>
      </w:pPr>
      <w:r>
        <w:rPr>
          <w:bCs/>
          <w:b/>
        </w:rPr>
        <w:t xml:space="preserve">Important Note:</w:t>
      </w:r>
      <w:r>
        <w:t xml:space="preserve"> </w:t>
      </w:r>
      <w:r>
        <w:t xml:space="preserve">This Quotation Estimate is specific to the University Lecturer engagement for the Faculty of Engineering and Information Technology at the University of Melbourne, Australia Melbourne. It does not cover any additional teaching load, research supervision, or administrative duties beyond the standard full-time academic appointment. Any scope changes will be subject to a revised Quotation Estimate issued separately.</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 Quotation Estimate for the University Lecturer recruitment and placement services in Australia Melbourne.</w:t>
      </w:r>
    </w:p>
    <w:p>
      <w:pPr>
        <w:pStyle w:val="BodyText"/>
      </w:pPr>
      <w:r>
        <w:rPr>
          <w:bCs/>
          <w:b/>
        </w:rPr>
        <w:t xml:space="preserve">For the University of Melbourne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Academic Placement Solutions Pty Ltd</w:t>
      </w:r>
      <w:r>
        <w:br/>
      </w:r>
      <w:r>
        <w:t xml:space="preserve">Name: Dr. Sarah Mitchell</w:t>
      </w:r>
      <w:r>
        <w:br/>
      </w:r>
      <w:r>
        <w:t xml:space="preserve">Title: Director</w:t>
      </w:r>
      <w:r>
        <w:br/>
      </w:r>
      <w:r>
        <w:t xml:space="preserve">Date: 12 June 2025</w:t>
      </w:r>
    </w:p>
    <w:p>
      <w:pPr>
        <w:pStyle w:val="BodyText"/>
      </w:pPr>
      <w:r>
        <w:t xml:space="preserve">© 2025 Academic Placement Solutions Pty Ltd | ABN 12 345 678 901 | Australia Melbourne</w:t>
      </w:r>
      <w:r>
        <w:br/>
      </w:r>
      <w:r>
        <w:t xml:space="preserve">This Quotation Estimate is a confidential document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Australia Melbourne</dc:title>
  <dc:creator/>
  <dc:language>en</dc:language>
  <cp:keywords/>
  <dcterms:created xsi:type="dcterms:W3CDTF">2026-10-10T11:30:44Z</dcterms:created>
  <dcterms:modified xsi:type="dcterms:W3CDTF">2026-10-10T11:30:44Z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