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Academic Services — University Lecturer Engagement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QTE-2025-SYD-0487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the date of issue (14 July 2025)</w:t>
            </w:r>
          </w:p>
        </w:tc>
      </w:tr>
      <w:tr>
        <w:tc>
          <w:tcPr/>
          <w:p>
            <w:pPr>
              <w:pStyle w:val="Compact"/>
              <w:jc w:val="left"/>
            </w:pPr>
            <w:r>
              <w:t xml:space="preserve">Prepared By</w:t>
            </w:r>
          </w:p>
        </w:tc>
        <w:tc>
          <w:tcPr/>
          <w:p>
            <w:pPr>
              <w:pStyle w:val="Compact"/>
              <w:jc w:val="left"/>
            </w:pPr>
            <w:r>
              <w:t xml:space="preserve">Dr. Margaret A. Whitfield, Director of Academic Recruitment Services</w:t>
            </w:r>
          </w:p>
        </w:tc>
      </w:tr>
      <w:tr>
        <w:tc>
          <w:tcPr/>
          <w:p>
            <w:pPr>
              <w:pStyle w:val="Compact"/>
              <w:jc w:val="left"/>
            </w:pPr>
            <w:r>
              <w:t xml:space="preserve">Prepared For</w:t>
            </w:r>
          </w:p>
        </w:tc>
        <w:tc>
          <w:tcPr/>
          <w:p>
            <w:pPr>
              <w:pStyle w:val="Compact"/>
              <w:jc w:val="left"/>
            </w:pPr>
            <w:r>
              <w:t xml:space="preserve">The Faculty of Engineering and Applied Sciences, University of Sydney, NSW 2006, Australia Sydney</w:t>
            </w:r>
          </w:p>
        </w:tc>
      </w:tr>
      <w:tr>
        <w:tc>
          <w:tcPr/>
          <w:p>
            <w:pPr>
              <w:pStyle w:val="Compact"/>
              <w:jc w:val="left"/>
            </w:pPr>
            <w:r>
              <w:t xml:space="preserve">Position</w:t>
            </w:r>
          </w:p>
        </w:tc>
        <w:tc>
          <w:tcPr/>
          <w:p>
            <w:pPr>
              <w:pStyle w:val="Compact"/>
              <w:jc w:val="left"/>
            </w:pPr>
            <w:r>
              <w:t xml:space="preserve">University Lecturer — Department of Civil and Environmental Engineering</w:t>
            </w:r>
          </w:p>
        </w:tc>
      </w:tr>
      <w:tr>
        <w:tc>
          <w:tcPr/>
          <w:p>
            <w:pPr>
              <w:pStyle w:val="Compact"/>
              <w:jc w:val="left"/>
            </w:pPr>
            <w:r>
              <w:t xml:space="preserve">Engagement Type</w:t>
            </w:r>
          </w:p>
        </w:tc>
        <w:tc>
          <w:tcPr/>
          <w:p>
            <w:pPr>
              <w:pStyle w:val="Compact"/>
              <w:jc w:val="left"/>
            </w:pPr>
            <w:r>
              <w:t xml:space="preserve">Fixed-Term Academic Appointment (2 Academic Years, 2026–2027)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academic hiring protocols of the University of Sydney and the broader higher education regulatory framework governing the Australia Sydney metropolitan region. It provides a comprehensive financial breakdown for the recruitment, onboarding, and ongoing engagement of a qualified</w:t>
      </w:r>
      <w:r>
        <w:t xml:space="preserve"> </w:t>
      </w:r>
      <w:r>
        <w:t xml:space="preserve">University Lecturer</w:t>
      </w:r>
      <w:r>
        <w:t xml:space="preserve"> </w:t>
      </w:r>
      <w:r>
        <w:t xml:space="preserve">to deliver undergraduate and postgraduate teaching, supervise research students, and contribute to the scholarly output of the Department of Civil and Environmental Engineering. All figures presented herein are expressed in Australian Dollars (AUD) and reflect current market rates applicable to academic positions in Australia Sydney as of the 2025–2026 academic cycle.</w:t>
      </w:r>
    </w:p>
    <w:bookmarkEnd w:id="21"/>
    <w:bookmarkStart w:id="22" w:name="Xeb6c46b5f33ace7d4f62f5ab8b2bbcbfb01f360"/>
    <w:p>
      <w:pPr>
        <w:pStyle w:val="Heading2"/>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engagement encompasses the following core responsibilities and deliverables, consistent with the Australian National Tertiary Education Qualifications Framework (AQTF) and the university's internal academic standards:</w:t>
      </w:r>
    </w:p>
    <w:p>
      <w:pPr>
        <w:numPr>
          <w:ilvl w:val="0"/>
          <w:numId w:val="1001"/>
        </w:numPr>
        <w:pStyle w:val="Compact"/>
      </w:pPr>
      <w:r>
        <w:t xml:space="preserve">Delivery of a minimum of 120 contact hours per semester across two semesters annually, including lectures, tutorials, and laboratory sessions for both undergraduate and postgraduate coursework programs.</w:t>
      </w:r>
    </w:p>
    <w:p>
      <w:pPr>
        <w:numPr>
          <w:ilvl w:val="0"/>
          <w:numId w:val="1001"/>
        </w:numPr>
        <w:pStyle w:val="Compact"/>
      </w:pPr>
      <w:r>
        <w:t xml:space="preserve">Supervision of a minimum of four (4) Honours students and two (2) Master's by Research candidates per academic year, with regular progress reviews aligned to the university's research supervision guidelines.</w:t>
      </w:r>
    </w:p>
    <w:p>
      <w:pPr>
        <w:numPr>
          <w:ilvl w:val="0"/>
          <w:numId w:val="1001"/>
        </w:numPr>
        <w:pStyle w:val="Compact"/>
      </w:pPr>
      <w:r>
        <w:t xml:space="preserve">Active participation in departmental research groups, with an expected annual output of no fewer than three (3) peer-reviewed journal publications or equivalent conference contributions.</w:t>
      </w:r>
    </w:p>
    <w:p>
      <w:pPr>
        <w:numPr>
          <w:ilvl w:val="0"/>
          <w:numId w:val="1001"/>
        </w:numPr>
        <w:pStyle w:val="Compact"/>
      </w:pPr>
      <w:r>
        <w:t xml:space="preserve">Contribution to curriculum development, accreditation reviews, and quality assurance processes mandated by the Tertiary Education Quality and Standards Agency (TEQSA) operating within Australia Sydney and the wider Australian jurisdiction.</w:t>
      </w:r>
    </w:p>
    <w:p>
      <w:pPr>
        <w:numPr>
          <w:ilvl w:val="0"/>
          <w:numId w:val="1001"/>
        </w:numPr>
        <w:pStyle w:val="Compact"/>
      </w:pPr>
      <w:r>
        <w:t xml:space="preserve">Engagement in professional development activities, including attendance at the annual Australian National University Teachers' Conference and participation in the university's Teaching and Learning Enhancement Program.</w:t>
      </w:r>
    </w:p>
    <w:p>
      <w:pPr>
        <w:numPr>
          <w:ilvl w:val="0"/>
          <w:numId w:val="1001"/>
        </w:numPr>
        <w:pStyle w:val="Compact"/>
      </w:pPr>
      <w:r>
        <w:t xml:space="preserve">Administrative duties including examination invigilation, committee membership, and student advisory services as allocated by the Head of Department.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Base Academic Salary — University Lecturer (Level 7, Academic Salary Scale)</w:t>
            </w:r>
          </w:p>
        </w:tc>
        <w:tc>
          <w:tcPr/>
          <w:p>
            <w:pPr>
              <w:pStyle w:val="Compact"/>
              <w:jc w:val="left"/>
            </w:pPr>
            <w:r>
              <w:t xml:space="preserve">24 months</w:t>
            </w:r>
          </w:p>
        </w:tc>
        <w:tc>
          <w:tcPr/>
          <w:p>
            <w:pPr>
              <w:pStyle w:val="Compact"/>
              <w:jc w:val="left"/>
            </w:pPr>
            <w:r>
              <w:t xml:space="preserve">$112,400 / year</w:t>
            </w:r>
          </w:p>
        </w:tc>
        <w:tc>
          <w:tcPr/>
          <w:p>
            <w:pPr>
              <w:pStyle w:val="Compact"/>
              <w:jc w:val="left"/>
            </w:pPr>
            <w:r>
              <w:t xml:space="preserve">$224,800.00</w:t>
            </w:r>
          </w:p>
        </w:tc>
      </w:tr>
      <w:tr>
        <w:tc>
          <w:tcPr/>
          <w:p>
            <w:pPr>
              <w:pStyle w:val="Compact"/>
              <w:jc w:val="left"/>
            </w:pPr>
            <w:r>
              <w:t xml:space="preserve">2</w:t>
            </w:r>
          </w:p>
        </w:tc>
        <w:tc>
          <w:tcPr/>
          <w:p>
            <w:pPr>
              <w:pStyle w:val="Compact"/>
              <w:jc w:val="left"/>
            </w:pPr>
            <w:r>
              <w:t xml:space="preserve">Research Allowance — Annual stipend for publications, conference travel, and research materials</w:t>
            </w:r>
          </w:p>
        </w:tc>
        <w:tc>
          <w:tcPr/>
          <w:p>
            <w:pPr>
              <w:pStyle w:val="Compact"/>
              <w:jc w:val="left"/>
            </w:pPr>
            <w:r>
              <w:t xml:space="preserve">24 months</w:t>
            </w:r>
          </w:p>
        </w:tc>
        <w:tc>
          <w:tcPr/>
          <w:p>
            <w:pPr>
              <w:pStyle w:val="Compact"/>
              <w:jc w:val="left"/>
            </w:pPr>
            <w:r>
              <w:t xml:space="preserve">$8,500 / year</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Teaching Load Adjustment — Premium for exceeding standard 120-hour contact load</w:t>
            </w:r>
          </w:p>
        </w:tc>
        <w:tc>
          <w:tcPr/>
          <w:p>
            <w:pPr>
              <w:pStyle w:val="Compact"/>
              <w:jc w:val="left"/>
            </w:pPr>
            <w:r>
              <w:t xml:space="preserve">Per semester</w:t>
            </w:r>
          </w:p>
        </w:tc>
        <w:tc>
          <w:tcPr/>
          <w:p>
            <w:pPr>
              <w:pStyle w:val="Compact"/>
              <w:jc w:val="left"/>
            </w:pPr>
            <w:r>
              <w:t xml:space="preserve">$185 / hour</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Relocation and Establishment Package — Applicable if the University Lecturer is recruited from outside the Australia Sydney metropolitan area</w:t>
            </w:r>
          </w:p>
        </w:tc>
        <w:tc>
          <w:tcPr/>
          <w:p>
            <w:pPr>
              <w:pStyle w:val="Compact"/>
              <w:jc w:val="left"/>
            </w:pPr>
            <w:r>
              <w:t xml:space="preserve">One-time</w:t>
            </w:r>
          </w:p>
        </w:tc>
        <w:tc>
          <w:tcPr/>
          <w:p>
            <w:pPr>
              <w:pStyle w:val="Compact"/>
              <w:jc w:val="left"/>
            </w:pPr>
            <w:r>
              <w:t xml:space="preserve">Flat rate</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Professional Indemnity and Public Liability Insurance</w:t>
            </w:r>
          </w:p>
        </w:tc>
        <w:tc>
          <w:tcPr/>
          <w:p>
            <w:pPr>
              <w:pStyle w:val="Compact"/>
              <w:jc w:val="left"/>
            </w:pPr>
            <w:r>
              <w:t xml:space="preserve">24 months</w:t>
            </w:r>
          </w:p>
        </w:tc>
        <w:tc>
          <w:tcPr/>
          <w:p>
            <w:pPr>
              <w:pStyle w:val="Compact"/>
              <w:jc w:val="left"/>
            </w:pPr>
            <w:r>
              <w:t xml:space="preserve">$2,200 / year</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Onboarding, Orientation, and Academic Induction Program</w:t>
            </w:r>
          </w:p>
        </w:tc>
        <w:tc>
          <w:tcPr/>
          <w:p>
            <w:pPr>
              <w:pStyle w:val="Compact"/>
              <w:jc w:val="left"/>
            </w:pPr>
            <w:r>
              <w:t xml:space="preserve">One-time</w:t>
            </w:r>
          </w:p>
        </w:tc>
        <w:tc>
          <w:tcPr/>
          <w:p>
            <w:pPr>
              <w:pStyle w:val="Compact"/>
              <w:jc w:val="left"/>
            </w:pPr>
            <w:r>
              <w:t xml:space="preserve">Flat rate</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Annual Performance Review and Career Development Assessment</w:t>
            </w:r>
          </w:p>
        </w:tc>
        <w:tc>
          <w:tcPr/>
          <w:p>
            <w:pPr>
              <w:pStyle w:val="Compact"/>
              <w:jc w:val="left"/>
            </w:pPr>
            <w:r>
              <w:t xml:space="preserve">2 cycles</w:t>
            </w:r>
          </w:p>
        </w:tc>
        <w:tc>
          <w:tcPr/>
          <w:p>
            <w:pPr>
              <w:pStyle w:val="Compact"/>
              <w:jc w:val="left"/>
            </w:pPr>
            <w:r>
              <w:t xml:space="preserve">$1,800 / cycle</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Superannuation Contributions (Employer, 11.5% statutory rate)</w:t>
            </w:r>
          </w:p>
        </w:tc>
        <w:tc>
          <w:tcPr/>
          <w:p>
            <w:pPr>
              <w:pStyle w:val="Compact"/>
              <w:jc w:val="left"/>
            </w:pPr>
            <w:r>
              <w:t xml:space="preserve">24 months</w:t>
            </w:r>
          </w:p>
        </w:tc>
        <w:tc>
          <w:tcPr/>
          <w:p>
            <w:pPr>
              <w:pStyle w:val="Compact"/>
              <w:jc w:val="left"/>
            </w:pPr>
            <w:r>
              <w:t xml:space="preserve">11.5% of base</w:t>
            </w:r>
          </w:p>
        </w:tc>
        <w:tc>
          <w:tcPr/>
          <w:p>
            <w:pPr>
              <w:pStyle w:val="Compact"/>
              <w:jc w:val="left"/>
            </w:pPr>
            <w:r>
              <w:t xml:space="preserve">$25,852.00</w:t>
            </w:r>
          </w:p>
        </w:tc>
      </w:tr>
      <w:tr>
        <w:tc>
          <w:tcPr/>
          <w:p>
            <w:pPr>
              <w:pStyle w:val="Compact"/>
              <w:jc w:val="left"/>
            </w:pPr>
            <w:r>
              <w:t xml:space="preserve">9</w:t>
            </w:r>
          </w:p>
        </w:tc>
        <w:tc>
          <w:tcPr/>
          <w:p>
            <w:pPr>
              <w:pStyle w:val="Compact"/>
              <w:jc w:val="left"/>
            </w:pPr>
            <w:r>
              <w:t xml:space="preserve">Workplace Health, Safety, and Wellbeing Program (Australia Sydney compliance)</w:t>
            </w:r>
          </w:p>
        </w:tc>
        <w:tc>
          <w:tcPr/>
          <w:p>
            <w:pPr>
              <w:pStyle w:val="Compact"/>
              <w:jc w:val="left"/>
            </w:pPr>
            <w:r>
              <w:t xml:space="preserve">24 months</w:t>
            </w:r>
          </w:p>
        </w:tc>
        <w:tc>
          <w:tcPr/>
          <w:p>
            <w:pPr>
              <w:pStyle w:val="Compact"/>
              <w:jc w:val="left"/>
            </w:pPr>
            <w:r>
              <w:t xml:space="preserve">$1,500 / year</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Administrative and Recruitment Agency Fee (12% of base salary)</w:t>
            </w:r>
          </w:p>
        </w:tc>
        <w:tc>
          <w:tcPr/>
          <w:p>
            <w:pPr>
              <w:pStyle w:val="Compact"/>
              <w:jc w:val="left"/>
            </w:pPr>
            <w:r>
              <w:t xml:space="preserve">One-time</w:t>
            </w:r>
          </w:p>
        </w:tc>
        <w:tc>
          <w:tcPr/>
          <w:p>
            <w:pPr>
              <w:pStyle w:val="Compact"/>
              <w:jc w:val="left"/>
            </w:pPr>
            <w:r>
              <w:t xml:space="preserve">12%</w:t>
            </w:r>
          </w:p>
        </w:tc>
        <w:tc>
          <w:tcPr/>
          <w:p>
            <w:pPr>
              <w:pStyle w:val="Compact"/>
              <w:jc w:val="left"/>
            </w:pPr>
            <w:r>
              <w:t xml:space="preserve">$26,976.00</w:t>
            </w:r>
          </w:p>
        </w:tc>
      </w:tr>
      <w:tr>
        <w:tc>
          <w:tcPr>
            <w:gridSpan w:val="4"/>
          </w:tcPr>
          <w:p>
            <w:pPr>
              <w:pStyle w:val="Compact"/>
              <w:jc w:val="right"/>
            </w:pPr>
            <w:r>
              <w:t xml:space="preserve">Grand Total (AUD, inclusive of all listed items)</w:t>
            </w:r>
          </w:p>
        </w:tc>
        <w:tc>
          <w:tcPr/>
          <w:p>
            <w:pPr>
              <w:pStyle w:val="Compact"/>
              <w:jc w:val="left"/>
            </w:pPr>
            <w:r>
              <w:t xml:space="preserve">$324,828.00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Should the University of Sydney require a revised estimate beyond this period, all rates will be subject to re-evaluation based on prevailing academic labour market conditions in Australia Sydney.</w:t>
      </w:r>
    </w:p>
    <w:p>
      <w:pPr>
        <w:numPr>
          <w:ilvl w:val="0"/>
          <w:numId w:val="1002"/>
        </w:numPr>
        <w:pStyle w:val="Compact"/>
      </w:pPr>
      <w:r>
        <w:t xml:space="preserve">All monetary values are quoted in Australian Dollars (AUD) and are exclusive of Goods and Services Tax (GST), as academic employment services are generally GST-free under Australian tax legislation (A New Tax System (Goods and Services Tax) Act 1999).</w:t>
      </w:r>
    </w:p>
    <w:p>
      <w:pPr>
        <w:numPr>
          <w:ilvl w:val="0"/>
          <w:numId w:val="1002"/>
        </w:numPr>
        <w:pStyle w:val="Compact"/>
      </w:pPr>
      <w:r>
        <w:t xml:space="preserve">The</w:t>
      </w:r>
      <w:r>
        <w:t xml:space="preserve"> </w:t>
      </w:r>
      <w:r>
        <w:t xml:space="preserve">University Lecturer</w:t>
      </w:r>
      <w:r>
        <w:t xml:space="preserve"> </w:t>
      </w:r>
      <w:r>
        <w:t xml:space="preserve">appointment is contingent upon successful completion of a national police check, Working With Children Check (if applicable), academic reference verification, and a health clearance certificate as required by the university's human resources policy.</w:t>
      </w:r>
    </w:p>
    <w:p>
      <w:pPr>
        <w:numPr>
          <w:ilvl w:val="0"/>
          <w:numId w:val="1002"/>
        </w:numPr>
        <w:pStyle w:val="Compact"/>
      </w:pPr>
      <w:r>
        <w:t xml:space="preserve">Payment terms: Base salary and superannuation contributions shall be disbursed fortnightly in arrears via direct deposit. The relocation package and onboarding costs shall be settled within fourteen (14) business days of the commencement date. The recruitment agency fee is payable in a single lump sum upon execution of the employment contract.</w:t>
      </w:r>
    </w:p>
    <w:p>
      <w:pPr>
        <w:numPr>
          <w:ilvl w:val="0"/>
          <w:numId w:val="1002"/>
        </w:numPr>
        <w:pStyle w:val="Compact"/>
      </w:pPr>
      <w:r>
        <w:t xml:space="preserve">This engagement is governed by the laws of the State of New South Wales and the Commonwealth of Australia. Any disputes arising from this</w:t>
      </w:r>
      <w:r>
        <w:t xml:space="preserve"> </w:t>
      </w:r>
      <w:r>
        <w:t xml:space="preserve">Quotation Estimate</w:t>
      </w:r>
      <w:r>
        <w:t xml:space="preserve"> </w:t>
      </w:r>
      <w:r>
        <w:t xml:space="preserve">or the subsequent employment agreement shall be resolved in accordance with the Fair Work Act 2009 (Cth) and the relevant provisions of the Higher Education Standards Framework.</w:t>
      </w:r>
    </w:p>
    <w:p>
      <w:pPr>
        <w:numPr>
          <w:ilvl w:val="0"/>
          <w:numId w:val="1002"/>
        </w:numPr>
        <w:pStyle w:val="Compact"/>
      </w:pPr>
      <w:r>
        <w:t xml:space="preserve">The university reserves the right to adjust the teaching load, research expectations, or administrative duties of the</w:t>
      </w:r>
      <w:r>
        <w:t xml:space="preserve"> </w:t>
      </w:r>
      <w:r>
        <w:t xml:space="preserve">University Lecturer</w:t>
      </w:r>
      <w:r>
        <w:t xml:space="preserve"> </w:t>
      </w:r>
      <w:r>
        <w:t xml:space="preserve">in accordance with institutional strategic planning, provided that such adjustments do not materially reduce the compensation outlined in this estimate without mutual written consent.</w:t>
      </w:r>
    </w:p>
    <w:p>
      <w:pPr>
        <w:numPr>
          <w:ilvl w:val="0"/>
          <w:numId w:val="1002"/>
        </w:numPr>
        <w:pStyle w:val="Compact"/>
      </w:pPr>
      <w:r>
        <w:t xml:space="preserve">Confidentiality: All information contained in this document, including candidate details, salary structures, and institutional strategies, is classified as confidential and must not be disclosed to third parties without prior written authorisation from the Office of the Vice-Chancellor, University of Sydney, Australia Sydney.</w:t>
      </w:r>
    </w:p>
    <w:bookmarkEnd w:id="24"/>
    <w:bookmarkStart w:id="25" w:name="acceptance-and-authorisation"/>
    <w:p>
      <w:pPr>
        <w:pStyle w:val="Heading2"/>
      </w:pPr>
      <w:r>
        <w:t xml:space="preserve">5. Acceptance and Authorisation</w:t>
      </w:r>
    </w:p>
    <w:p>
      <w:pPr>
        <w:pStyle w:val="FirstParagraph"/>
      </w:pPr>
      <w:r>
        <w:t xml:space="preserve">By signing below, the authorised representative of the University of Sydney acknowledges receipt of this</w:t>
      </w:r>
      <w:r>
        <w:t xml:space="preserve"> </w:t>
      </w:r>
      <w:r>
        <w:t xml:space="preserve">Quotation Estimate</w:t>
      </w:r>
      <w:r>
        <w:t xml:space="preserve"> </w:t>
      </w:r>
      <w:r>
        <w:t xml:space="preserve">and confirms acceptance of the terms, conditions, and financial provisions set forth herein for the engagement of a</w:t>
      </w:r>
      <w:r>
        <w:t xml:space="preserve"> </w:t>
      </w:r>
      <w:r>
        <w:t xml:space="preserve">University Lecturer</w:t>
      </w:r>
      <w:r>
        <w:t xml:space="preserve"> </w:t>
      </w:r>
      <w:r>
        <w:t xml:space="preserve">within the Australia Sydney campus. This acceptance constitutes a binding commitment subject to the completion of all pre-employment verification procedures.</w:t>
      </w:r>
    </w:p>
    <w:p>
      <w:pPr>
        <w:pStyle w:val="BodyText"/>
      </w:pPr>
      <w:r>
        <w:rPr>
          <w:bCs/>
          <w:b/>
        </w:rPr>
        <w:t xml:space="preserve">For and on behalf of the University of Sydney:</w:t>
      </w:r>
    </w:p>
    <w:p>
      <w:pPr>
        <w:pStyle w:val="BodyText"/>
      </w:pPr>
      <w:r>
        <w:t xml:space="preserve">Name: ______________________________</w:t>
      </w:r>
    </w:p>
    <w:p>
      <w:pPr>
        <w:pStyle w:val="BodyText"/>
      </w:pPr>
      <w:r>
        <w:t xml:space="preserve">Title: Head of Department / Dean</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Recruitment Agency:</w:t>
      </w:r>
    </w:p>
    <w:p>
      <w:pPr>
        <w:pStyle w:val="BodyText"/>
      </w:pPr>
      <w:r>
        <w:t xml:space="preserve">Name: Dr. Margaret A. Whitfield</w:t>
      </w:r>
    </w:p>
    <w:p>
      <w:pPr>
        <w:pStyle w:val="BodyText"/>
      </w:pPr>
      <w:r>
        <w:t xml:space="preserve">Title: Director, Academic Recruitment Services</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QTE-2025-SYD-0487 — University Lecturer Engagement — University of Sydney, Australia Sydney</w:t>
      </w:r>
      <w:r>
        <w:br/>
      </w:r>
      <w:r>
        <w:t xml:space="preserve">This document was generated on 14 June 2025. For queries, contact the Office of Academic Personnel at academic.recruitment@usyd.edu.au or telephone +61 2 9351 2222.</w:t>
      </w:r>
      <w:r>
        <w:br/>
      </w:r>
      <w:r>
        <w:t xml:space="preserve">© 2025 University of Sydney.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Australia Sydney</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