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Academic Services – University Lecturer Engagement</w:t>
      </w:r>
    </w:p>
    <w:p>
      <w:pPr>
        <w:pStyle w:val="BodyText"/>
      </w:pPr>
      <w:r>
        <w:t xml:space="preserve">Reference No.: QE-2025-RJ-0472 | Validity: 60 Days from Issue Date</w:t>
      </w:r>
    </w:p>
    <w:bookmarkEnd w:id="20"/>
    <w:p>
      <w:pPr>
        <w:pStyle w:val="BodyText"/>
      </w:pPr>
      <w:r>
        <w:rPr>
          <w:bCs/>
          <w:b/>
        </w:rPr>
        <w:t xml:space="preserve">Prepared For:</w:t>
      </w:r>
      <w:r>
        <w:br/>
      </w:r>
      <w:r>
        <w:t xml:space="preserve">Universidade Federal do Rio de Janeiro (UFRJ)</w:t>
      </w:r>
      <w:r>
        <w:br/>
      </w:r>
      <w:r>
        <w:t xml:space="preserve">Campus Fundão, Rio de Janeiro, RJ – Brazil</w:t>
      </w:r>
      <w:r>
        <w:br/>
      </w:r>
      <w:r>
        <w:t xml:space="preserve">Attn: Department of International Academic Affairs</w:t>
      </w:r>
    </w:p>
    <w:p>
      <w:pPr>
        <w:pStyle w:val="BodyText"/>
      </w:pPr>
      <w:r>
        <w:rPr>
          <w:bCs/>
          <w:b/>
        </w:rPr>
        <w:t xml:space="preserve">Prepared By:</w:t>
      </w:r>
      <w:r>
        <w:br/>
      </w:r>
      <w:r>
        <w:t xml:space="preserve">Global Academic Placement Services Ltd.</w:t>
      </w:r>
      <w:r>
        <w:br/>
      </w:r>
      <w:r>
        <w:t xml:space="preserve">1200 Av. Atlântica, Copacabana</w:t>
      </w:r>
      <w:r>
        <w:br/>
      </w:r>
      <w:r>
        <w:t xml:space="preserve">Rio de Janeiro, RJ 22070-000 – Brazil</w:t>
      </w:r>
      <w:r>
        <w:br/>
      </w:r>
      <w:r>
        <w:t xml:space="preserve">CNPJ: 12.345.678/0001-90</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in response to the formal request submitted by the University of Rio de Janeiro for the recruitment and engagement of a qualified</w:t>
      </w:r>
      <w:r>
        <w:t xml:space="preserve"> </w:t>
      </w:r>
      <w:r>
        <w:t xml:space="preserve">University Lecturer</w:t>
      </w:r>
      <w:r>
        <w:t xml:space="preserve"> </w:t>
      </w:r>
      <w:r>
        <w:t xml:space="preserve">to deliver academic instruction, supervise research, and contribute to the institutional mission of the university. This estimate provides a comprehensive financial breakdown for all services associated with the</w:t>
      </w:r>
      <w:r>
        <w:t xml:space="preserve"> </w:t>
      </w:r>
      <w:r>
        <w:t xml:space="preserve">University Lecturer</w:t>
      </w:r>
      <w:r>
        <w:t xml:space="preserve"> </w:t>
      </w:r>
      <w:r>
        <w:t xml:space="preserve">position, including compensation, benefits, relocation support, and ancillary academic services. All figures presented herein are specific to the</w:t>
      </w:r>
      <w:r>
        <w:t xml:space="preserve"> </w:t>
      </w:r>
      <w:r>
        <w:t xml:space="preserve">Brazil Rio de Janeiro</w:t>
      </w:r>
      <w:r>
        <w:t xml:space="preserve"> </w:t>
      </w:r>
      <w:r>
        <w:t xml:space="preserve">metropolitan area and reflect current market rates, local labor regulations, and the cost of living applicable to the region.</w:t>
      </w:r>
    </w:p>
    <w:bookmarkEnd w:id="21"/>
    <w:bookmarkStart w:id="22" w:name="Xe4b47c0a6e5108df20bd632b3fa4f23a4e9ba43"/>
    <w:p>
      <w:pPr>
        <w:pStyle w:val="Heading2"/>
      </w:pPr>
      <w:r>
        <w:t xml:space="preserve">2. Scope of Services – University Lecturer Position</w:t>
      </w:r>
    </w:p>
    <w:p>
      <w:pPr>
        <w:pStyle w:val="FirstParagraph"/>
      </w:pPr>
      <w:r>
        <w:t xml:space="preserve">The</w:t>
      </w:r>
      <w:r>
        <w:t xml:space="preserve"> </w:t>
      </w:r>
      <w:r>
        <w:t xml:space="preserve">University Lecturer</w:t>
      </w:r>
      <w:r>
        <w:t xml:space="preserve"> </w:t>
      </w:r>
      <w:r>
        <w:t xml:space="preserve">engagement encompasses the following professional duties and responsibilities, tailored to the academic standards and operational requirements of a leading institution in</w:t>
      </w:r>
      <w:r>
        <w:t xml:space="preserve"> </w:t>
      </w:r>
      <w:r>
        <w:t xml:space="preserve">Brazil Rio de Janeiro</w:t>
      </w:r>
      <w:r>
        <w:t xml:space="preserve">:</w:t>
      </w:r>
    </w:p>
    <w:p>
      <w:pPr>
        <w:numPr>
          <w:ilvl w:val="0"/>
          <w:numId w:val="1001"/>
        </w:numPr>
        <w:pStyle w:val="Compact"/>
      </w:pPr>
      <w:r>
        <w:t xml:space="preserve">Delivery of undergraduate and postgraduate lectures across a minimum of 24 contact hours per academic week.</w:t>
      </w:r>
    </w:p>
    <w:p>
      <w:pPr>
        <w:numPr>
          <w:ilvl w:val="0"/>
          <w:numId w:val="1001"/>
        </w:numPr>
        <w:pStyle w:val="Compact"/>
      </w:pPr>
      <w:r>
        <w:t xml:space="preserve">Supervision of a minimum of six (6) Master's thesis candidates and two (2) Doctoral dissertations per academic year.</w:t>
      </w:r>
    </w:p>
    <w:p>
      <w:pPr>
        <w:numPr>
          <w:ilvl w:val="0"/>
          <w:numId w:val="1001"/>
        </w:numPr>
        <w:pStyle w:val="Compact"/>
      </w:pPr>
      <w:r>
        <w:t xml:space="preserve">Development and continuous updating of course curricula, syllabi, and assessment materials aligned with CAPES accreditation standards.</w:t>
      </w:r>
    </w:p>
    <w:p>
      <w:pPr>
        <w:numPr>
          <w:ilvl w:val="0"/>
          <w:numId w:val="1001"/>
        </w:numPr>
        <w:pStyle w:val="Compact"/>
      </w:pPr>
      <w:r>
        <w:t xml:space="preserve">Participation in departmental governance meetings, academic committees, and institutional planning sessions held at the Rio de Janeiro campus.</w:t>
      </w:r>
    </w:p>
    <w:p>
      <w:pPr>
        <w:numPr>
          <w:ilvl w:val="0"/>
          <w:numId w:val="1001"/>
        </w:numPr>
        <w:pStyle w:val="Compact"/>
      </w:pPr>
      <w:r>
        <w:t xml:space="preserve">Mentoring of junior academic staff and graduate teaching assistants within the faculty.</w:t>
      </w:r>
    </w:p>
    <w:p>
      <w:pPr>
        <w:numPr>
          <w:ilvl w:val="0"/>
          <w:numId w:val="1001"/>
        </w:numPr>
        <w:pStyle w:val="Compact"/>
      </w:pPr>
      <w:r>
        <w:t xml:space="preserve">Contribution to at least two (2) peer-reviewed publications or conference presentations per year in internationally recognized journals.</w:t>
      </w:r>
    </w:p>
    <w:p>
      <w:pPr>
        <w:numPr>
          <w:ilvl w:val="0"/>
          <w:numId w:val="1001"/>
        </w:numPr>
        <w:pStyle w:val="Compact"/>
      </w:pPr>
      <w:r>
        <w:t xml:space="preserve">Engagement in community outreach programs and public lectures organized by the university in the Rio de Janeiro metropolitan area.</w:t>
      </w:r>
    </w:p>
    <w:bookmarkEnd w:id="22"/>
    <w:bookmarkStart w:id="23" w:name="financial-breakdown-quotation-estimate"/>
    <w:p>
      <w:pPr>
        <w:pStyle w:val="Heading2"/>
      </w:pPr>
      <w:r>
        <w:t xml:space="preserve">3. Financial Breakdown – Quotation Estimate</w:t>
      </w:r>
    </w:p>
    <w:p>
      <w:pPr>
        <w:pStyle w:val="FirstParagraph"/>
      </w:pPr>
      <w:r>
        <w:t xml:space="preserve">The following table presents the itemized</w:t>
      </w:r>
      <w:r>
        <w:t xml:space="preserve"> </w:t>
      </w:r>
      <w:r>
        <w:t xml:space="preserve">Quotation Estimate</w:t>
      </w:r>
      <w:r>
        <w:t xml:space="preserve"> </w:t>
      </w:r>
      <w:r>
        <w:t xml:space="preserve">for the</w:t>
      </w:r>
      <w:r>
        <w:t xml:space="preserve"> </w:t>
      </w:r>
      <w:r>
        <w:t xml:space="preserve">University Lecturer</w:t>
      </w:r>
      <w:r>
        <w:t xml:space="preserve"> </w:t>
      </w:r>
      <w:r>
        <w:t xml:space="preserve">engagement. All monetary values are expressed in Brazilian Reais (BRL) and are calculated based on prevailing salary benchmarks for senior academic professionals in</w:t>
      </w:r>
      <w:r>
        <w:t xml:space="preserve"> </w:t>
      </w:r>
      <w:r>
        <w:t xml:space="preserve">Brazil Rio de Janeiro</w:t>
      </w:r>
      <w:r>
        <w:t xml:space="preserve"> </w:t>
      </w:r>
      <w:r>
        <w:t xml:space="preserve">as of the current fiscal year.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(BRL)</w:t>
            </w:r>
          </w:p>
        </w:tc>
      </w:tr>
      <w:tr>
        <w:tc>
          <w:tcPr/>
          <w:p>
            <w:pPr>
              <w:pStyle w:val="Compact"/>
              <w:jc w:val="left"/>
            </w:pPr>
            <w:r>
              <w:t xml:space="preserve">3.1</w:t>
            </w:r>
          </w:p>
        </w:tc>
        <w:tc>
          <w:tcPr/>
          <w:p>
            <w:pPr>
              <w:pStyle w:val="Compact"/>
              <w:jc w:val="left"/>
            </w:pPr>
            <w:r>
              <w:t xml:space="preserve">Base Monthly Salary – University Lecturer (Senior Academic Rank)</w:t>
            </w:r>
          </w:p>
        </w:tc>
        <w:tc>
          <w:tcPr/>
          <w:p>
            <w:pPr>
              <w:pStyle w:val="Compact"/>
              <w:jc w:val="left"/>
            </w:pPr>
            <w:r>
              <w:t xml:space="preserve">12 months</w:t>
            </w:r>
          </w:p>
        </w:tc>
        <w:tc>
          <w:tcPr/>
          <w:p>
            <w:pPr>
              <w:pStyle w:val="Compact"/>
              <w:jc w:val="left"/>
            </w:pPr>
            <w:r>
              <w:t xml:space="preserve">R$ 1,440,000.00</w:t>
            </w:r>
          </w:p>
        </w:tc>
      </w:tr>
      <w:tr>
        <w:tc>
          <w:tcPr/>
          <w:p>
            <w:pPr>
              <w:pStyle w:val="Compact"/>
              <w:jc w:val="left"/>
            </w:pPr>
            <w:r>
              <w:t xml:space="preserve">3.2</w:t>
            </w:r>
          </w:p>
        </w:tc>
        <w:tc>
          <w:tcPr/>
          <w:p>
            <w:pPr>
              <w:pStyle w:val="Compact"/>
              <w:jc w:val="left"/>
            </w:pPr>
            <w:r>
              <w:t xml:space="preserve">Academic Productivity Bonus (publications, research grants, conference participation)</w:t>
            </w:r>
          </w:p>
        </w:tc>
        <w:tc>
          <w:tcPr/>
          <w:p>
            <w:pPr>
              <w:pStyle w:val="Compact"/>
              <w:jc w:val="left"/>
            </w:pPr>
            <w:r>
              <w:t xml:space="preserve">Annual</w:t>
            </w:r>
          </w:p>
        </w:tc>
        <w:tc>
          <w:tcPr/>
          <w:p>
            <w:pPr>
              <w:pStyle w:val="Compact"/>
              <w:jc w:val="left"/>
            </w:pPr>
            <w:r>
              <w:t xml:space="preserve">R$ 96,000.00</w:t>
            </w:r>
          </w:p>
        </w:tc>
      </w:tr>
      <w:tr>
        <w:tc>
          <w:tcPr/>
          <w:p>
            <w:pPr>
              <w:pStyle w:val="Compact"/>
              <w:jc w:val="left"/>
            </w:pPr>
            <w:r>
              <w:t xml:space="preserve">3.3</w:t>
            </w:r>
          </w:p>
        </w:tc>
        <w:tc>
          <w:tcPr/>
          <w:p>
            <w:pPr>
              <w:pStyle w:val="Compact"/>
              <w:jc w:val="left"/>
            </w:pPr>
            <w:r>
              <w:t xml:space="preserve">13th Salary (13º Salário) – Mandatory under Brazilian Labor Law (CLT)</w:t>
            </w:r>
          </w:p>
        </w:tc>
        <w:tc>
          <w:tcPr/>
          <w:p>
            <w:pPr>
              <w:pStyle w:val="Compact"/>
              <w:jc w:val="left"/>
            </w:pPr>
            <w:r>
              <w:t xml:space="preserve">One-time</w:t>
            </w:r>
          </w:p>
        </w:tc>
        <w:tc>
          <w:tcPr/>
          <w:p>
            <w:pPr>
              <w:pStyle w:val="Compact"/>
              <w:jc w:val="left"/>
            </w:pPr>
            <w:r>
              <w:t xml:space="preserve">R$ 120,000.00</w:t>
            </w:r>
          </w:p>
        </w:tc>
      </w:tr>
      <w:tr>
        <w:tc>
          <w:tcPr/>
          <w:p>
            <w:pPr>
              <w:pStyle w:val="Compact"/>
              <w:jc w:val="left"/>
            </w:pPr>
            <w:r>
              <w:t xml:space="preserve">3.4</w:t>
            </w:r>
          </w:p>
        </w:tc>
        <w:tc>
          <w:tcPr/>
          <w:p>
            <w:pPr>
              <w:pStyle w:val="Compact"/>
              <w:jc w:val="left"/>
            </w:pPr>
            <w:r>
              <w:t xml:space="preserve">FGTS Employer Contribution (8% of gross salary)</w:t>
            </w:r>
          </w:p>
        </w:tc>
        <w:tc>
          <w:tcPr/>
          <w:p>
            <w:pPr>
              <w:pStyle w:val="Compact"/>
              <w:jc w:val="left"/>
            </w:pPr>
            <w:r>
              <w:t xml:space="preserve">12 months</w:t>
            </w:r>
          </w:p>
        </w:tc>
        <w:tc>
          <w:tcPr/>
          <w:p>
            <w:pPr>
              <w:pStyle w:val="Compact"/>
              <w:jc w:val="left"/>
            </w:pPr>
            <w:r>
              <w:t xml:space="preserve">R$ 115,200.00</w:t>
            </w:r>
          </w:p>
        </w:tc>
      </w:tr>
      <w:tr>
        <w:tc>
          <w:tcPr/>
          <w:p>
            <w:pPr>
              <w:pStyle w:val="Compact"/>
              <w:jc w:val="left"/>
            </w:pPr>
            <w:r>
              <w:t xml:space="preserve">3.5</w:t>
            </w:r>
          </w:p>
        </w:tc>
        <w:tc>
          <w:tcPr/>
          <w:p>
            <w:pPr>
              <w:pStyle w:val="Compact"/>
              <w:jc w:val="left"/>
            </w:pPr>
            <w:r>
              <w:t xml:space="preserve">Health Insurance Premium (Comprehensive Plan – Rio de Janeiro network)</w:t>
            </w:r>
          </w:p>
        </w:tc>
        <w:tc>
          <w:tcPr/>
          <w:p>
            <w:pPr>
              <w:pStyle w:val="Compact"/>
              <w:jc w:val="left"/>
            </w:pPr>
            <w:r>
              <w:t xml:space="preserve">12 months</w:t>
            </w:r>
          </w:p>
        </w:tc>
        <w:tc>
          <w:tcPr/>
          <w:p>
            <w:pPr>
              <w:pStyle w:val="Compact"/>
              <w:jc w:val="left"/>
            </w:pPr>
            <w:r>
              <w:t xml:space="preserve">R$ 48,000.00</w:t>
            </w:r>
          </w:p>
        </w:tc>
      </w:tr>
      <w:tr>
        <w:tc>
          <w:tcPr/>
          <w:p>
            <w:pPr>
              <w:pStyle w:val="Compact"/>
              <w:jc w:val="left"/>
            </w:pPr>
            <w:r>
              <w:t xml:space="preserve">3.6</w:t>
            </w:r>
          </w:p>
        </w:tc>
        <w:tc>
          <w:tcPr/>
          <w:p>
            <w:pPr>
              <w:pStyle w:val="Compact"/>
              <w:jc w:val="left"/>
            </w:pPr>
            <w:r>
              <w:t xml:space="preserve">Relocation and Settlement Package (international airfare, temporary housing, visa processing)</w:t>
            </w:r>
          </w:p>
        </w:tc>
        <w:tc>
          <w:tcPr/>
          <w:p>
            <w:pPr>
              <w:pStyle w:val="Compact"/>
              <w:jc w:val="left"/>
            </w:pPr>
            <w:r>
              <w:t xml:space="preserve">One-time</w:t>
            </w:r>
          </w:p>
        </w:tc>
        <w:tc>
          <w:tcPr/>
          <w:p>
            <w:pPr>
              <w:pStyle w:val="Compact"/>
              <w:jc w:val="left"/>
            </w:pPr>
            <w:r>
              <w:t xml:space="preserve">R$ 85,000.00</w:t>
            </w:r>
          </w:p>
        </w:tc>
      </w:tr>
      <w:tr>
        <w:tc>
          <w:tcPr/>
          <w:p>
            <w:pPr>
              <w:pStyle w:val="Compact"/>
              <w:jc w:val="left"/>
            </w:pPr>
            <w:r>
              <w:t xml:space="preserve">3.7</w:t>
            </w:r>
          </w:p>
        </w:tc>
        <w:tc>
          <w:tcPr/>
          <w:p>
            <w:pPr>
              <w:pStyle w:val="Compact"/>
              <w:jc w:val="left"/>
            </w:pPr>
            <w:r>
              <w:t xml:space="preserve">Research and Laboratory Access Stipend</w:t>
            </w:r>
          </w:p>
        </w:tc>
        <w:tc>
          <w:tcPr/>
          <w:p>
            <w:pPr>
              <w:pStyle w:val="Compact"/>
              <w:jc w:val="left"/>
            </w:pPr>
            <w:r>
              <w:t xml:space="preserve">12 months</w:t>
            </w:r>
          </w:p>
        </w:tc>
        <w:tc>
          <w:tcPr/>
          <w:p>
            <w:pPr>
              <w:pStyle w:val="Compact"/>
              <w:jc w:val="left"/>
            </w:pPr>
            <w:r>
              <w:t xml:space="preserve">R$ 60,000.00</w:t>
            </w:r>
          </w:p>
        </w:tc>
      </w:tr>
      <w:tr>
        <w:tc>
          <w:tcPr/>
          <w:p>
            <w:pPr>
              <w:pStyle w:val="Compact"/>
              <w:jc w:val="left"/>
            </w:pPr>
            <w:r>
              <w:t xml:space="preserve">3.8</w:t>
            </w:r>
          </w:p>
        </w:tc>
        <w:tc>
          <w:tcPr/>
          <w:p>
            <w:pPr>
              <w:pStyle w:val="Compact"/>
              <w:jc w:val="left"/>
            </w:pPr>
            <w:r>
              <w:t xml:space="preserve">Professional Development and Conference Travel Allowance</w:t>
            </w:r>
          </w:p>
        </w:tc>
        <w:tc>
          <w:tcPr/>
          <w:p>
            <w:pPr>
              <w:pStyle w:val="Compact"/>
              <w:jc w:val="left"/>
            </w:pPr>
            <w:r>
              <w:t xml:space="preserve">Annual</w:t>
            </w:r>
          </w:p>
        </w:tc>
        <w:tc>
          <w:tcPr/>
          <w:p>
            <w:pPr>
              <w:pStyle w:val="Compact"/>
              <w:jc w:val="left"/>
            </w:pPr>
            <w:r>
              <w:t xml:space="preserve">R$ 36,000.00</w:t>
            </w:r>
          </w:p>
        </w:tc>
      </w:tr>
      <w:tr>
        <w:tc>
          <w:tcPr/>
          <w:p>
            <w:pPr>
              <w:pStyle w:val="Compact"/>
              <w:jc w:val="left"/>
            </w:pPr>
            <w:r>
              <w:t xml:space="preserve">3.9</w:t>
            </w:r>
          </w:p>
        </w:tc>
        <w:tc>
          <w:tcPr/>
          <w:p>
            <w:pPr>
              <w:pStyle w:val="Compact"/>
              <w:jc w:val="left"/>
            </w:pPr>
            <w:r>
              <w:t xml:space="preserve">Administrative and Recruitment Service Fee (Global Academic Placement Services)</w:t>
            </w:r>
          </w:p>
        </w:tc>
        <w:tc>
          <w:tcPr/>
          <w:p>
            <w:pPr>
              <w:pStyle w:val="Compact"/>
              <w:jc w:val="left"/>
            </w:pPr>
            <w:r>
              <w:t xml:space="preserve">One-time</w:t>
            </w:r>
          </w:p>
        </w:tc>
        <w:tc>
          <w:tcPr/>
          <w:p>
            <w:pPr>
              <w:pStyle w:val="Compact"/>
              <w:jc w:val="left"/>
            </w:pPr>
            <w:r>
              <w:t xml:space="preserve">R$ 72,000.00</w:t>
            </w:r>
          </w:p>
        </w:tc>
      </w:tr>
      <w:tr>
        <w:tc>
          <w:tcPr>
            <w:gridSpan w:val="3"/>
          </w:tcPr>
          <w:p>
            <w:pPr>
              <w:pStyle w:val="Compact"/>
              <w:jc w:val="left"/>
            </w:pPr>
            <w:r>
              <w:t xml:space="preserve">TOTAL ESTIMATED COST (Quotation Estimate)</w:t>
            </w:r>
          </w:p>
        </w:tc>
        <w:tc>
          <w:tcPr/>
          <w:p>
            <w:pPr>
              <w:pStyle w:val="Compact"/>
              <w:jc w:val="left"/>
            </w:pPr>
            <w:r>
              <w:t xml:space="preserve">R$ 2,072,200.00</w:t>
            </w:r>
          </w:p>
        </w:tc>
      </w:tr>
    </w:tbl>
    <w:bookmarkEnd w:id="23"/>
    <w:bookmarkStart w:id="24" w:name="terms-and-conditions"/>
    <w:p>
      <w:pPr>
        <w:pStyle w:val="Heading2"/>
      </w:pPr>
      <w:r>
        <w:t xml:space="preserve">4. Terms and Conditions</w:t>
      </w:r>
    </w:p>
    <w:p>
      <w:pPr>
        <w:pStyle w:val="FirstParagraph"/>
      </w:pPr>
      <w:r>
        <w:t xml:space="preserve">This</w:t>
      </w:r>
      <w:r>
        <w:t xml:space="preserve"> </w:t>
      </w:r>
      <w:r>
        <w:t xml:space="preserve">Quotation Estimate</w:t>
      </w:r>
      <w:r>
        <w:t xml:space="preserve"> </w:t>
      </w:r>
      <w:r>
        <w:t xml:space="preserve">is subject to the following terms and conditions governing the engagement of the</w:t>
      </w:r>
      <w:r>
        <w:t xml:space="preserve"> </w:t>
      </w:r>
      <w:r>
        <w:t xml:space="preserve">University Lecturer</w:t>
      </w:r>
      <w:r>
        <w:t xml:space="preserve"> </w:t>
      </w:r>
      <w:r>
        <w:t xml:space="preserve">in</w:t>
      </w:r>
      <w:r>
        <w:t xml:space="preserve"> </w:t>
      </w:r>
      <w:r>
        <w:t xml:space="preserve">Brazil Rio de Janeiro</w:t>
      </w:r>
      <w:r>
        <w:t xml:space="preserve">:</w:t>
      </w:r>
    </w:p>
    <w:p>
      <w:pPr>
        <w:numPr>
          <w:ilvl w:val="0"/>
          <w:numId w:val="1002"/>
        </w:numPr>
        <w:pStyle w:val="Compact"/>
      </w:pPr>
      <w:r>
        <w:t xml:space="preserve">This Quotation Estimate remains valid for a period of sixty (60) calendar days from the date of issue. Beyond this period, all financial figures are subject to revision based on market fluctuations, exchange rate changes, and updates to Brazilian federal and state tax regulations.</w:t>
      </w:r>
    </w:p>
    <w:p>
      <w:pPr>
        <w:numPr>
          <w:ilvl w:val="0"/>
          <w:numId w:val="1002"/>
        </w:numPr>
        <w:pStyle w:val="Compact"/>
      </w:pPr>
      <w:r>
        <w:t xml:space="preserve">The University Lecturer position is governed by the Brazilian Consolidation of Labor Laws (CLT – Consolidação das Leis do Trabalho) and applicable state-level regulations specific to the state of Rio de Janeiro. All statutory employer contributions, including INSS, FGTS, and IRRF withholding, are included in the estimates above.</w:t>
      </w:r>
    </w:p>
    <w:p>
      <w:pPr>
        <w:numPr>
          <w:ilvl w:val="0"/>
          <w:numId w:val="1002"/>
        </w:numPr>
        <w:pStyle w:val="Compact"/>
      </w:pPr>
      <w:r>
        <w:t xml:space="preserve">The engagement period is for one (1) academic year, commencing on the first business day of the semester, with the option for renewal subject to mutual agreement and satisfactory performance evaluation by the university's academic board.</w:t>
      </w:r>
    </w:p>
    <w:p>
      <w:pPr>
        <w:numPr>
          <w:ilvl w:val="0"/>
          <w:numId w:val="1002"/>
        </w:numPr>
        <w:pStyle w:val="Compact"/>
      </w:pPr>
      <w:r>
        <w:t xml:space="preserve">Payment terms: The base salary and associated benefits shall be disbursed on a monthly basis via direct bank transfer to the University Lecturer's designated account in a Brazilian financial institution. The relocation package shall be paid in full within fifteen (15) business days of contract execution.</w:t>
      </w:r>
    </w:p>
    <w:p>
      <w:pPr>
        <w:numPr>
          <w:ilvl w:val="0"/>
          <w:numId w:val="1002"/>
        </w:numPr>
        <w:pStyle w:val="Compact"/>
      </w:pPr>
      <w:r>
        <w:t xml:space="preserve">Any changes to the scope of services, additional teaching loads, or extended research commitments beyond those outlined in Section 2 shall require a supplementary Quotation Estimate issued by Global Academic Placement Services Ltd. prior to implementation.</w:t>
      </w:r>
    </w:p>
    <w:p>
      <w:pPr>
        <w:numPr>
          <w:ilvl w:val="0"/>
          <w:numId w:val="1002"/>
        </w:numPr>
        <w:pStyle w:val="Compact"/>
      </w:pPr>
      <w:r>
        <w:t xml:space="preserve">This Quotation Estimate does not constitute a binding employment contract. A formal employment agreement, compliant with all Brazilian labor and immigration legislation, shall be executed separately upon mutual acceptance of this estimate.</w:t>
      </w:r>
    </w:p>
    <w:bookmarkEnd w:id="24"/>
    <w:p>
      <w:pPr>
        <w:pStyle w:val="FirstParagraph"/>
      </w:pPr>
      <w:r>
        <w:rPr>
          <w:bCs/>
          <w:b/>
        </w:rPr>
        <w:t xml:space="preserve">Important Note:</w:t>
      </w:r>
      <w:r>
        <w:t xml:space="preserve"> </w:t>
      </w:r>
      <w:r>
        <w:t xml:space="preserve">All salary figures in this Quotation Estimate for the University Lecturer position reflect the minimum compensation benchmarks established by the Federal University of Rio de Janeiro for senior academic staff. Actual compensation may be adjusted upward based on the candidate's specific qualifications, international research reputation, and the particular departmental budget allocation approved by the university's finance committee in Brazil Rio de Janeiro.</w:t>
      </w:r>
    </w:p>
    <w:bookmarkStart w:id="25" w:name="acceptance-and-authorization"/>
    <w:p>
      <w:pPr>
        <w:pStyle w:val="Heading2"/>
      </w:pPr>
      <w:r>
        <w:t xml:space="preserve">5. Acceptance and Authorization</w:t>
      </w:r>
    </w:p>
    <w:p>
      <w:pPr>
        <w:pStyle w:val="FirstParagraph"/>
      </w:pPr>
      <w:r>
        <w:t xml:space="preserve">By signing below, the authorized representative of the institution acknowledges receipt of this Quotation Estimate and confirms acceptance of the financial terms, scope of services, and conditions outlined for the University Lecturer engagement in Brazil Rio de Janeiro. This acceptance authorizes Global Academic Placement Services Ltd. to proceed with the recruitment, vetting, and onboarding processes as described herein.</w:t>
      </w:r>
    </w:p>
    <w:bookmarkEnd w:id="25"/>
    <w:p>
      <w:pPr>
        <w:pStyle w:val="BodyText"/>
      </w:pPr>
      <w:r>
        <w:rPr>
          <w:bCs/>
          <w:b/>
        </w:rPr>
        <w:t xml:space="preserve">For the University (Client)</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Global Academic Placement Services Ltd.</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Global Academic Placement Services Ltd.</w:t>
      </w:r>
      <w:r>
        <w:t xml:space="preserve"> </w:t>
      </w:r>
      <w:r>
        <w:t xml:space="preserve">| CNPJ: 12.345.678/0001-90 | Av. Atlântica, 1200 – Copacabana, Rio de Janeiro, RJ 22070-000 – Brazil</w:t>
      </w:r>
    </w:p>
    <w:p>
      <w:pPr>
        <w:pStyle w:val="BodyText"/>
      </w:pPr>
      <w:r>
        <w:t xml:space="preserve">Email: quotations@globalacademicplacement.com.br | Phone: +55 (21) 3456-7890</w:t>
      </w:r>
    </w:p>
    <w:p>
      <w:pPr>
        <w:pStyle w:val="BodyText"/>
      </w:pPr>
      <w:r>
        <w:t xml:space="preserve">This Quotation Estimate document was generated for the specific purpose of the University Lecturer recruitment process at the Federal University of Rio de Janeiro. Unauthorized reproduction or distribution of this document is prohibited. All rights reserved. © 2025 Global Academic Placement Services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Brazil Rio de Janeiro</dc:title>
  <dc:creator/>
  <dc:language>en</dc:language>
  <cp:keywords/>
  <dcterms:created xsi:type="dcterms:W3CDTF">2026-10-10T02:00:29Z</dcterms:created>
  <dcterms:modified xsi:type="dcterms:W3CDTF">2026-10-10T02:00:29Z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