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Brazil</w:t>
      </w:r>
      <w:r>
        <w:t xml:space="preserve"> </w:t>
      </w:r>
      <w:r>
        <w:t xml:space="preserve">São</w:t>
      </w:r>
      <w:r>
        <w:t xml:space="preserve"> </w:t>
      </w:r>
      <w:r>
        <w:t xml:space="preserve">Paulo</w:t>
      </w:r>
    </w:p>
    <w:bookmarkStart w:id="20" w:name="quotation-estimate"/>
    <w:p>
      <w:pPr>
        <w:pStyle w:val="Heading1"/>
      </w:pPr>
      <w:r>
        <w:t xml:space="preserve">Quotation Estimate</w:t>
      </w:r>
    </w:p>
    <w:p>
      <w:pPr>
        <w:pStyle w:val="FirstParagraph"/>
      </w:pPr>
      <w:r>
        <w:t xml:space="preserve">Professional Services – University Lecturer Engagement</w:t>
      </w:r>
    </w:p>
    <w:p>
      <w:pPr>
        <w:pStyle w:val="BodyText"/>
      </w:pPr>
      <w:r>
        <w:t xml:space="preserve">Brazil – São Paulo</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QTE-SP-2025-04871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the date of issue (expires 15 July 2025)</w:t>
            </w:r>
          </w:p>
        </w:tc>
      </w:tr>
      <w:tr>
        <w:tc>
          <w:tcPr/>
          <w:p>
            <w:pPr>
              <w:pStyle w:val="Compact"/>
              <w:jc w:val="left"/>
            </w:pPr>
            <w:r>
              <w:t xml:space="preserve">Prepared For</w:t>
            </w:r>
          </w:p>
        </w:tc>
        <w:tc>
          <w:tcPr/>
          <w:p>
            <w:pPr>
              <w:pStyle w:val="Compact"/>
              <w:jc w:val="left"/>
            </w:pPr>
            <w:r>
              <w:t xml:space="preserve">Faculdade de Ciências Aplicadas de São Paulo</w:t>
            </w:r>
            <w:r>
              <w:br/>
            </w:r>
            <w:r>
              <w:t xml:space="preserve">Av. Paulista, 1578 – Bela Vista</w:t>
            </w:r>
            <w:r>
              <w:br/>
            </w:r>
            <w:r>
              <w:t xml:space="preserve">São Paulo – SP, 01310-100, Brazil</w:t>
            </w:r>
          </w:p>
        </w:tc>
      </w:tr>
      <w:tr>
        <w:tc>
          <w:tcPr/>
          <w:p>
            <w:pPr>
              <w:pStyle w:val="Compact"/>
              <w:jc w:val="left"/>
            </w:pPr>
            <w:r>
              <w:t xml:space="preserve">Prepared By</w:t>
            </w:r>
          </w:p>
        </w:tc>
        <w:tc>
          <w:tcPr/>
          <w:p>
            <w:pPr>
              <w:pStyle w:val="Compact"/>
              <w:jc w:val="left"/>
            </w:pPr>
            <w:r>
              <w:t xml:space="preserve">Dr. Ricardo Almeida Santos</w:t>
            </w:r>
            <w:r>
              <w:br/>
            </w:r>
            <w:r>
              <w:t xml:space="preserve">Independent Academic Consultant &amp; University Lecturer</w:t>
            </w:r>
            <w:r>
              <w:br/>
            </w:r>
            <w:r>
              <w:t xml:space="preserve">CNPJ: 12.345.678/0001-90</w:t>
            </w:r>
            <w:r>
              <w:br/>
            </w:r>
            <w:r>
              <w:t xml:space="preserve">São Paulo – SP, Brazil</w:t>
            </w:r>
          </w:p>
        </w:tc>
      </w:tr>
      <w:tr>
        <w:tc>
          <w:tcPr/>
          <w:p>
            <w:pPr>
              <w:pStyle w:val="Compact"/>
              <w:jc w:val="left"/>
            </w:pPr>
            <w:r>
              <w:t xml:space="preserve">Currency</w:t>
            </w:r>
          </w:p>
        </w:tc>
        <w:tc>
          <w:tcPr/>
          <w:p>
            <w:pPr>
              <w:pStyle w:val="Compact"/>
              <w:jc w:val="left"/>
            </w:pPr>
            <w:r>
              <w:t xml:space="preserve">Brazilian Real (BRL – R$)</w:t>
            </w:r>
          </w:p>
        </w:tc>
      </w:tr>
      <w:tr>
        <w:tc>
          <w:tcPr/>
          <w:p>
            <w:pPr>
              <w:pStyle w:val="Compact"/>
              <w:jc w:val="left"/>
            </w:pPr>
            <w:r>
              <w:t xml:space="preserve">Engagement Period</w:t>
            </w:r>
          </w:p>
        </w:tc>
        <w:tc>
          <w:tcPr/>
          <w:p>
            <w:pPr>
              <w:pStyle w:val="Compact"/>
              <w:jc w:val="left"/>
            </w:pPr>
            <w:r>
              <w:t xml:space="preserve">1 September 2025 to 31 August 2026 (Academic Year 2025/2026)</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in response to the formal request for proposal received from Faculdade de Ciências Aplicadas de São Paulo regarding the engagement of a qualified</w:t>
      </w:r>
      <w:r>
        <w:t xml:space="preserve"> </w:t>
      </w:r>
      <w:r>
        <w:t xml:space="preserve">University Lecturer</w:t>
      </w:r>
      <w:r>
        <w:t xml:space="preserve"> </w:t>
      </w:r>
      <w:r>
        <w:t xml:space="preserve">to deliver undergraduate and postgraduate instruction in the Department of Applied Sciences. This document outlines the full scope of services, the itemized cost structure, and the contractual terms governing the professional engagement of the</w:t>
      </w:r>
      <w:r>
        <w:t xml:space="preserve"> </w:t>
      </w:r>
      <w:r>
        <w:t xml:space="preserve">University Lecturer</w:t>
      </w:r>
      <w:r>
        <w:t xml:space="preserve"> </w:t>
      </w:r>
      <w:r>
        <w:t xml:space="preserve">within the academic institutions of</w:t>
      </w:r>
      <w:r>
        <w:t xml:space="preserve"> </w:t>
      </w:r>
      <w:r>
        <w:t xml:space="preserve">Brazil, São Paulo</w:t>
      </w:r>
      <w:r>
        <w:t xml:space="preserve">. All figures presented herein are expressed in Brazilian Reais (BRL) and are subject to the tax regulations currently in force in the state of São Paulo and the federal Republic of Brazil.</w:t>
      </w:r>
    </w:p>
    <w:bookmarkEnd w:id="21"/>
    <w:bookmarkStart w:id="22" w:name="scope-of-services-university-lecturer"/>
    <w:p>
      <w:pPr>
        <w:pStyle w:val="Heading2"/>
      </w:pPr>
      <w:r>
        <w:t xml:space="preserve">2. Scope of Services – University Lecturer</w:t>
      </w:r>
    </w:p>
    <w:p>
      <w:pPr>
        <w:pStyle w:val="FirstParagraph"/>
      </w:pPr>
      <w:r>
        <w:t xml:space="preserve">The</w:t>
      </w:r>
      <w:r>
        <w:t xml:space="preserve"> </w:t>
      </w:r>
      <w:r>
        <w:t xml:space="preserve">University Lecturer</w:t>
      </w:r>
      <w:r>
        <w:t xml:space="preserve"> </w:t>
      </w:r>
      <w:r>
        <w:t xml:space="preserve">shall provide the following academic and professional services throughout the engagement period:</w:t>
      </w:r>
    </w:p>
    <w:p>
      <w:pPr>
        <w:numPr>
          <w:ilvl w:val="0"/>
          <w:numId w:val="1001"/>
        </w:numPr>
        <w:pStyle w:val="Compact"/>
      </w:pPr>
      <w:r>
        <w:t xml:space="preserve">Delivery of a minimum of 240 contact hours of face-to-face instruction across two undergraduate courses (Applied Mathematics and Data Science Fundamentals) and one postgraduate seminar (Advanced Statistical Modelling).</w:t>
      </w:r>
    </w:p>
    <w:p>
      <w:pPr>
        <w:numPr>
          <w:ilvl w:val="0"/>
          <w:numId w:val="1001"/>
        </w:numPr>
        <w:pStyle w:val="Compact"/>
      </w:pPr>
      <w:r>
        <w:t xml:space="preserve">Development and continuous updating of course syllabi, lecture materials, laboratory manuals, and assessment instruments aligned with the National Council of Education (CNE) guidelines and the specific curricular standards of the institution.</w:t>
      </w:r>
    </w:p>
    <w:p>
      <w:pPr>
        <w:numPr>
          <w:ilvl w:val="0"/>
          <w:numId w:val="1001"/>
        </w:numPr>
        <w:pStyle w:val="Compact"/>
      </w:pPr>
      <w:r>
        <w:t xml:space="preserve">Supervision of a maximum of six (6) undergraduate thesis projects and two (2) postgraduate dissertation candidates, including weekly advisory sessions and formal evaluation.</w:t>
      </w:r>
    </w:p>
    <w:p>
      <w:pPr>
        <w:numPr>
          <w:ilvl w:val="0"/>
          <w:numId w:val="1001"/>
        </w:numPr>
        <w:pStyle w:val="Compact"/>
      </w:pPr>
      <w:r>
        <w:t xml:space="preserve">Participation in at least four (4) departmental academic committees per semester, including curriculum review boards and examination panels.</w:t>
      </w:r>
    </w:p>
    <w:p>
      <w:pPr>
        <w:numPr>
          <w:ilvl w:val="0"/>
          <w:numId w:val="1001"/>
        </w:numPr>
        <w:pStyle w:val="Compact"/>
      </w:pPr>
      <w:r>
        <w:t xml:space="preserve">Availability for student office hours, totaling no fewer than 40 hours per academic semester, to be scheduled in coordination with the departmental coordinator.</w:t>
      </w:r>
    </w:p>
    <w:p>
      <w:pPr>
        <w:numPr>
          <w:ilvl w:val="0"/>
          <w:numId w:val="1001"/>
        </w:numPr>
        <w:pStyle w:val="Compact"/>
      </w:pPr>
      <w:r>
        <w:t xml:space="preserve">Contribution to the institution's research output through a minimum of one (1) peer-reviewed publication or conference presentation per academic year, with the institution listed as a co-affiliated body.</w:t>
      </w:r>
    </w:p>
    <w:p>
      <w:pPr>
        <w:numPr>
          <w:ilvl w:val="0"/>
          <w:numId w:val="1001"/>
        </w:numPr>
        <w:pStyle w:val="Compact"/>
      </w:pPr>
      <w:r>
        <w:t xml:space="preserve">Assistance in the preparation of accreditation documentation and quality-assurance reports as required by the Ministry of Education of Brazil (MEC) and the state education authority of São Paulo.</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 / Duration</w:t>
            </w:r>
          </w:p>
        </w:tc>
        <w:tc>
          <w:tcPr/>
          <w:p>
            <w:pPr>
              <w:pStyle w:val="Compact"/>
              <w:jc w:val="left"/>
            </w:pPr>
            <w:r>
              <w:t xml:space="preserve">Unit Rate (BRL)</w:t>
            </w:r>
          </w:p>
        </w:tc>
        <w:tc>
          <w:tcPr/>
          <w:p>
            <w:pPr>
              <w:pStyle w:val="Compact"/>
              <w:jc w:val="left"/>
            </w:pPr>
            <w:r>
              <w:t xml:space="preserve">Subtotal (BRL)</w:t>
            </w:r>
          </w:p>
        </w:tc>
      </w:tr>
      <w:tr>
        <w:tc>
          <w:tcPr/>
          <w:p>
            <w:pPr>
              <w:pStyle w:val="Compact"/>
              <w:jc w:val="left"/>
            </w:pPr>
            <w:r>
              <w:t xml:space="preserve">1</w:t>
            </w:r>
          </w:p>
        </w:tc>
        <w:tc>
          <w:tcPr/>
          <w:p>
            <w:pPr>
              <w:pStyle w:val="Compact"/>
              <w:jc w:val="left"/>
            </w:pPr>
            <w:r>
              <w:t xml:space="preserve">Undergraduate course instruction (Applied Mathematics &amp; Data Science Fundamentals) – 120 contact hours per semester</w:t>
            </w:r>
          </w:p>
        </w:tc>
        <w:tc>
          <w:tcPr/>
          <w:p>
            <w:pPr>
              <w:pStyle w:val="Compact"/>
              <w:jc w:val="left"/>
            </w:pPr>
            <w:r>
              <w:t xml:space="preserve">2 semesters</w:t>
            </w:r>
          </w:p>
        </w:tc>
        <w:tc>
          <w:tcPr/>
          <w:p>
            <w:pPr>
              <w:pStyle w:val="Compact"/>
              <w:jc w:val="left"/>
            </w:pPr>
            <w:r>
              <w:t xml:space="preserve">R$ 320,00 / hour</w:t>
            </w:r>
          </w:p>
        </w:tc>
        <w:tc>
          <w:tcPr/>
          <w:p>
            <w:pPr>
              <w:pStyle w:val="Compact"/>
              <w:jc w:val="left"/>
            </w:pPr>
            <w:r>
              <w:t xml:space="preserve">R$ 76,800.00</w:t>
            </w:r>
          </w:p>
        </w:tc>
      </w:tr>
      <w:tr>
        <w:tc>
          <w:tcPr/>
          <w:p>
            <w:pPr>
              <w:pStyle w:val="Compact"/>
              <w:jc w:val="left"/>
            </w:pPr>
            <w:r>
              <w:t xml:space="preserve">2</w:t>
            </w:r>
          </w:p>
        </w:tc>
        <w:tc>
          <w:tcPr/>
          <w:p>
            <w:pPr>
              <w:pStyle w:val="Compact"/>
              <w:jc w:val="left"/>
            </w:pPr>
            <w:r>
              <w:t xml:space="preserve">Postgraduate seminar (Advanced Statistical Modelling) – 48 contact hours per semester</w:t>
            </w:r>
          </w:p>
        </w:tc>
        <w:tc>
          <w:tcPr/>
          <w:p>
            <w:pPr>
              <w:pStyle w:val="Compact"/>
              <w:jc w:val="left"/>
            </w:pPr>
            <w:r>
              <w:t xml:space="preserve">2 semesters</w:t>
            </w:r>
          </w:p>
        </w:tc>
        <w:tc>
          <w:tcPr/>
          <w:p>
            <w:pPr>
              <w:pStyle w:val="Compact"/>
              <w:jc w:val="left"/>
            </w:pPr>
            <w:r>
              <w:t xml:space="preserve">R$ 450,00 / hour</w:t>
            </w:r>
          </w:p>
        </w:tc>
        <w:tc>
          <w:tcPr/>
          <w:p>
            <w:pPr>
              <w:pStyle w:val="Compact"/>
              <w:jc w:val="left"/>
            </w:pPr>
            <w:r>
              <w:t xml:space="preserve">R$ 43,200.00</w:t>
            </w:r>
          </w:p>
        </w:tc>
      </w:tr>
      <w:tr>
        <w:tc>
          <w:tcPr/>
          <w:p>
            <w:pPr>
              <w:pStyle w:val="Compact"/>
              <w:jc w:val="left"/>
            </w:pPr>
            <w:r>
              <w:t xml:space="preserve">3</w:t>
            </w:r>
          </w:p>
        </w:tc>
        <w:tc>
          <w:tcPr/>
          <w:p>
            <w:pPr>
              <w:pStyle w:val="Compact"/>
              <w:jc w:val="left"/>
            </w:pPr>
            <w:r>
              <w:t xml:space="preserve">Thesis and dissertation supervision (up to 8 students total)</w:t>
            </w:r>
          </w:p>
        </w:tc>
        <w:tc>
          <w:tcPr/>
          <w:p>
            <w:pPr>
              <w:pStyle w:val="Compact"/>
              <w:jc w:val="left"/>
            </w:pPr>
            <w:r>
              <w:t xml:space="preserve">12 months</w:t>
            </w:r>
          </w:p>
        </w:tc>
        <w:tc>
          <w:tcPr/>
          <w:p>
            <w:pPr>
              <w:pStyle w:val="Compact"/>
              <w:jc w:val="left"/>
            </w:pPr>
            <w:r>
              <w:t xml:space="preserve">R$ 1,800.00 / student / semester</w:t>
            </w:r>
          </w:p>
        </w:tc>
        <w:tc>
          <w:tcPr/>
          <w:p>
            <w:pPr>
              <w:pStyle w:val="Compact"/>
              <w:jc w:val="left"/>
            </w:pPr>
            <w:r>
              <w:t xml:space="preserve">R$ 28,800.00</w:t>
            </w:r>
          </w:p>
        </w:tc>
      </w:tr>
      <w:tr>
        <w:tc>
          <w:tcPr/>
          <w:p>
            <w:pPr>
              <w:pStyle w:val="Compact"/>
              <w:jc w:val="left"/>
            </w:pPr>
            <w:r>
              <w:t xml:space="preserve">4</w:t>
            </w:r>
          </w:p>
        </w:tc>
        <w:tc>
          <w:tcPr/>
          <w:p>
            <w:pPr>
              <w:pStyle w:val="Compact"/>
              <w:jc w:val="left"/>
            </w:pPr>
            <w:r>
              <w:t xml:space="preserve">Student office hours and academic advising</w:t>
            </w:r>
          </w:p>
        </w:tc>
        <w:tc>
          <w:tcPr/>
          <w:p>
            <w:pPr>
              <w:pStyle w:val="Compact"/>
              <w:jc w:val="left"/>
            </w:pPr>
            <w:r>
              <w:t xml:space="preserve">80 hours total</w:t>
            </w:r>
          </w:p>
        </w:tc>
        <w:tc>
          <w:tcPr/>
          <w:p>
            <w:pPr>
              <w:pStyle w:val="Compact"/>
              <w:jc w:val="left"/>
            </w:pPr>
            <w:r>
              <w:t xml:space="preserve">R$ 180,00 / hour</w:t>
            </w:r>
          </w:p>
        </w:tc>
        <w:tc>
          <w:tcPr/>
          <w:p>
            <w:pPr>
              <w:pStyle w:val="Compact"/>
              <w:jc w:val="left"/>
            </w:pPr>
            <w:r>
              <w:t xml:space="preserve">R$ 14,400.00</w:t>
            </w:r>
          </w:p>
        </w:tc>
      </w:tr>
      <w:tr>
        <w:tc>
          <w:tcPr/>
          <w:p>
            <w:pPr>
              <w:pStyle w:val="Compact"/>
              <w:jc w:val="left"/>
            </w:pPr>
            <w:r>
              <w:t xml:space="preserve">5</w:t>
            </w:r>
          </w:p>
        </w:tc>
        <w:tc>
          <w:tcPr/>
          <w:p>
            <w:pPr>
              <w:pStyle w:val="Compact"/>
              <w:jc w:val="left"/>
            </w:pPr>
            <w:r>
              <w:t xml:space="preserve">Curriculum development, syllabus design, and assessment material preparation</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R$ 12,000.00</w:t>
            </w:r>
          </w:p>
        </w:tc>
      </w:tr>
      <w:tr>
        <w:tc>
          <w:tcPr/>
          <w:p>
            <w:pPr>
              <w:pStyle w:val="Compact"/>
              <w:jc w:val="left"/>
            </w:pPr>
            <w:r>
              <w:t xml:space="preserve">6</w:t>
            </w:r>
          </w:p>
        </w:tc>
        <w:tc>
          <w:tcPr/>
          <w:p>
            <w:pPr>
              <w:pStyle w:val="Compact"/>
              <w:jc w:val="left"/>
            </w:pPr>
            <w:r>
              <w:t xml:space="preserve">Departmental committee participation and examination panels</w:t>
            </w:r>
          </w:p>
        </w:tc>
        <w:tc>
          <w:tcPr/>
          <w:p>
            <w:pPr>
              <w:pStyle w:val="Compact"/>
              <w:jc w:val="left"/>
            </w:pPr>
            <w:r>
              <w:t xml:space="preserve">8 sessions</w:t>
            </w:r>
          </w:p>
        </w:tc>
        <w:tc>
          <w:tcPr/>
          <w:p>
            <w:pPr>
              <w:pStyle w:val="Compact"/>
              <w:jc w:val="left"/>
            </w:pPr>
            <w:r>
              <w:t xml:space="preserve">R$ 600.00 / session</w:t>
            </w:r>
          </w:p>
        </w:tc>
        <w:tc>
          <w:tcPr/>
          <w:p>
            <w:pPr>
              <w:pStyle w:val="Compact"/>
              <w:jc w:val="left"/>
            </w:pPr>
            <w:r>
              <w:t xml:space="preserve">R$ 4,800.00</w:t>
            </w:r>
          </w:p>
        </w:tc>
      </w:tr>
      <w:tr>
        <w:tc>
          <w:tcPr/>
          <w:p>
            <w:pPr>
              <w:pStyle w:val="Compact"/>
              <w:jc w:val="left"/>
            </w:pPr>
            <w:r>
              <w:t xml:space="preserve">7</w:t>
            </w:r>
          </w:p>
        </w:tc>
        <w:tc>
          <w:tcPr/>
          <w:p>
            <w:pPr>
              <w:pStyle w:val="Compact"/>
              <w:jc w:val="left"/>
            </w:pPr>
            <w:r>
              <w:t xml:space="preserve">Research contribution (publication / conference presentation with institutional co-affiliation)</w:t>
            </w:r>
          </w:p>
        </w:tc>
        <w:tc>
          <w:tcPr/>
          <w:p>
            <w:pPr>
              <w:pStyle w:val="Compact"/>
              <w:jc w:val="left"/>
            </w:pPr>
            <w:r>
              <w:t xml:space="preserve">1 per year</w:t>
            </w:r>
          </w:p>
        </w:tc>
        <w:tc>
          <w:tcPr/>
          <w:p>
            <w:pPr>
              <w:pStyle w:val="Compact"/>
              <w:jc w:val="left"/>
            </w:pPr>
            <w:r>
              <w:t xml:space="preserve">R$ 5,000.00</w:t>
            </w:r>
          </w:p>
        </w:tc>
        <w:tc>
          <w:tcPr/>
          <w:p>
            <w:pPr>
              <w:pStyle w:val="Compact"/>
              <w:jc w:val="left"/>
            </w:pPr>
            <w:r>
              <w:t xml:space="preserve">R$ 5,000.00</w:t>
            </w:r>
          </w:p>
        </w:tc>
      </w:tr>
      <w:tr>
        <w:tc>
          <w:tcPr/>
          <w:p>
            <w:pPr>
              <w:pStyle w:val="Compact"/>
              <w:jc w:val="left"/>
            </w:pPr>
            <w:r>
              <w:t xml:space="preserve">8</w:t>
            </w:r>
          </w:p>
        </w:tc>
        <w:tc>
          <w:tcPr/>
          <w:p>
            <w:pPr>
              <w:pStyle w:val="Compact"/>
              <w:jc w:val="left"/>
            </w:pPr>
            <w:r>
              <w:t xml:space="preserve">MEC accreditation support and quality-assurance reporting</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R$ 6,000.00</w:t>
            </w:r>
          </w:p>
        </w:tc>
      </w:tr>
      <w:tr>
        <w:tc>
          <w:tcPr>
            <w:gridSpan w:val="4"/>
          </w:tcPr>
          <w:p>
            <w:pPr>
              <w:pStyle w:val="Compact"/>
              <w:jc w:val="left"/>
            </w:pPr>
            <w:r>
              <w:t xml:space="preserve">Subtotal (before taxes)</w:t>
            </w:r>
          </w:p>
        </w:tc>
        <w:tc>
          <w:tcPr/>
          <w:p>
            <w:pPr>
              <w:pStyle w:val="Compact"/>
              <w:jc w:val="left"/>
            </w:pPr>
            <w:r>
              <w:t xml:space="preserve">R$ 191,000.00</w:t>
            </w:r>
          </w:p>
        </w:tc>
      </w:tr>
      <w:tr>
        <w:tc>
          <w:tcPr>
            <w:gridSpan w:val="4"/>
          </w:tcPr>
          <w:p>
            <w:pPr>
              <w:pStyle w:val="Compact"/>
              <w:jc w:val="left"/>
            </w:pPr>
            <w:r>
              <w:t xml:space="preserve">ISS (Serviços de Saúde – Service Tax, São Paulo municipal rate 5%)</w:t>
            </w:r>
          </w:p>
        </w:tc>
        <w:tc>
          <w:tcPr/>
          <w:p>
            <w:pPr>
              <w:pStyle w:val="Compact"/>
              <w:jc w:val="left"/>
            </w:pPr>
            <w:r>
              <w:t xml:space="preserve">R$ 9,550.00</w:t>
            </w:r>
          </w:p>
        </w:tc>
      </w:tr>
      <w:tr>
        <w:tc>
          <w:tcPr>
            <w:gridSpan w:val="4"/>
          </w:tcPr>
          <w:p>
            <w:pPr>
              <w:pStyle w:val="Compact"/>
              <w:jc w:val="left"/>
            </w:pPr>
            <w:r>
              <w:t xml:space="preserve">IRRF (Income Tax Withholding, 11% on professional services)</w:t>
            </w:r>
          </w:p>
        </w:tc>
        <w:tc>
          <w:tcPr/>
          <w:p>
            <w:pPr>
              <w:pStyle w:val="Compact"/>
              <w:jc w:val="left"/>
            </w:pPr>
            <w:r>
              <w:t xml:space="preserve">R$ 21,010.00</w:t>
            </w:r>
          </w:p>
        </w:tc>
      </w:tr>
      <w:tr>
        <w:tc>
          <w:tcPr>
            <w:gridSpan w:val="4"/>
          </w:tcPr>
          <w:p>
            <w:pPr>
              <w:pStyle w:val="Compact"/>
              <w:jc w:val="left"/>
            </w:pPr>
            <w:r>
              <w:t xml:space="preserve">INSS (Social Security Contribution, 11%)</w:t>
            </w:r>
          </w:p>
        </w:tc>
        <w:tc>
          <w:tcPr/>
          <w:p>
            <w:pPr>
              <w:pStyle w:val="Compact"/>
              <w:jc w:val="left"/>
            </w:pPr>
            <w:r>
              <w:t xml:space="preserve">R$ 21,010.00</w:t>
            </w:r>
          </w:p>
        </w:tc>
      </w:tr>
      <w:tr>
        <w:tc>
          <w:tcPr>
            <w:gridSpan w:val="4"/>
          </w:tcPr>
          <w:p>
            <w:pPr>
              <w:pStyle w:val="Compact"/>
              <w:jc w:val="left"/>
            </w:pPr>
            <w:r>
              <w:t xml:space="preserve">CSLL (Social Contribution on Net Profit, 4%)</w:t>
            </w:r>
          </w:p>
        </w:tc>
        <w:tc>
          <w:tcPr/>
          <w:p>
            <w:pPr>
              <w:pStyle w:val="Compact"/>
              <w:jc w:val="left"/>
            </w:pPr>
            <w:r>
              <w:t xml:space="preserve">R$ 7,640.00</w:t>
            </w:r>
          </w:p>
        </w:tc>
      </w:tr>
      <w:tr>
        <w:tc>
          <w:tcPr>
            <w:gridSpan w:val="4"/>
          </w:tcPr>
          <w:p>
            <w:pPr>
              <w:pStyle w:val="Compact"/>
              <w:jc w:val="left"/>
            </w:pPr>
            <w:r>
              <w:t xml:space="preserve">PIS / COFINS (3.65%)</w:t>
            </w:r>
          </w:p>
        </w:tc>
        <w:tc>
          <w:tcPr/>
          <w:p>
            <w:pPr>
              <w:pStyle w:val="Compact"/>
              <w:jc w:val="left"/>
            </w:pPr>
            <w:r>
              <w:t xml:space="preserve">R$ 6,971.50</w:t>
            </w:r>
          </w:p>
        </w:tc>
      </w:tr>
      <w:tr>
        <w:tc>
          <w:tcPr>
            <w:gridSpan w:val="4"/>
          </w:tcPr>
          <w:p>
            <w:pPr>
              <w:pStyle w:val="Compact"/>
              <w:jc w:val="left"/>
            </w:pPr>
            <w:r>
              <w:rPr>
                <w:bCs/>
                <w:b/>
              </w:rPr>
              <w:t xml:space="preserve">GRAND TOTAL (all taxes included)</w:t>
            </w:r>
          </w:p>
        </w:tc>
        <w:tc>
          <w:tcPr/>
          <w:p>
            <w:pPr>
              <w:pStyle w:val="Compact"/>
              <w:jc w:val="left"/>
            </w:pPr>
            <w:r>
              <w:rPr>
                <w:bCs/>
                <w:b/>
              </w:rPr>
              <w:t xml:space="preserve">R$ 257,181.50</w:t>
            </w:r>
          </w:p>
        </w:tc>
      </w:tr>
    </w:tbl>
    <w:p>
      <w:pPr>
        <w:pStyle w:val="BodyText"/>
      </w:pPr>
      <w:r>
        <w:rPr>
          <w:bCs/>
          <w:b/>
        </w:rPr>
        <w:t xml:space="preserve">Note:</w:t>
      </w:r>
      <w:r>
        <w:t xml:space="preserve"> </w:t>
      </w:r>
      <w:r>
        <w:t xml:space="preserve">The above</w:t>
      </w:r>
      <w:r>
        <w:t xml:space="preserve"> </w:t>
      </w:r>
      <w:r>
        <w:t xml:space="preserve">Quotation Estimate</w:t>
      </w:r>
      <w:r>
        <w:t xml:space="preserve"> </w:t>
      </w:r>
      <w:r>
        <w:t xml:space="preserve">assumes standard working conditions at the institution's facilities in São Paulo. Any additional travel to other municipalities within the state of São Paulo, or to other states in Brazil, will be billed separately at a rate of R$ 85.00 per kilometre plus applicable per-diem allowances in accordance with the institution's travel policy.</w:t>
      </w:r>
    </w:p>
    <w:bookmarkEnd w:id="23"/>
    <w:bookmarkStart w:id="24" w:name="payment-terms"/>
    <w:p>
      <w:pPr>
        <w:pStyle w:val="Heading2"/>
      </w:pPr>
      <w:r>
        <w:t xml:space="preserve">4. Payment Terms</w:t>
      </w:r>
    </w:p>
    <w:p>
      <w:pPr>
        <w:pStyle w:val="FirstParagraph"/>
      </w:pPr>
      <w:r>
        <w:t xml:space="preserve">Payment for the services rendered by the</w:t>
      </w:r>
      <w:r>
        <w:t xml:space="preserve"> </w:t>
      </w:r>
      <w:r>
        <w:t xml:space="preserve">University Lecturer</w:t>
      </w:r>
      <w:r>
        <w:t xml:space="preserve"> </w:t>
      </w:r>
      <w:r>
        <w:t xml:space="preserve">shall be made on a monthly basis, in arrears, via bank transfer (TED or DOC) to the CNPJ account specified in Section 1. Invoices (Notas Fiscais de Serviço) shall be issued in accordance with the electronic invoicing system (NF-e) mandated by the São Paulo municipal tax authority (Secretaria da Fazenda do Estado de São Paulo). Payment is due within fifteen (15) business days of the invoice date. Late payments shall accrue interest at the rate of 1% per month plus a 2% penalty, in compliance with Brazilian commercial law (Código Civil, Art. 412).</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thirty (30) calendar days from the date of issue. Upon expiry, all rates and conditions must be renegotiated in writing.</w:t>
      </w:r>
    </w:p>
    <w:p>
      <w:pPr>
        <w:pStyle w:val="BodyText"/>
      </w:pPr>
      <w:r>
        <w:rPr>
          <w:bCs/>
          <w:b/>
        </w:rPr>
        <w:t xml:space="preserve">5.2</w:t>
      </w:r>
      <w:r>
        <w:t xml:space="preserve"> </w:t>
      </w:r>
      <w:r>
        <w:t xml:space="preserve">The engagement of the</w:t>
      </w:r>
      <w:r>
        <w:t xml:space="preserve"> </w:t>
      </w:r>
      <w:r>
        <w:t xml:space="preserve">University Lecturer</w:t>
      </w:r>
      <w:r>
        <w:t xml:space="preserve"> </w:t>
      </w:r>
      <w:r>
        <w:t xml:space="preserve">is governed by a formal Service Contract (Contrato de Prestação de Serviços) to be executed prior to the commencement of the academic year. The contract shall be subject to the civil and labour legislation of the Federative Republic of Brazil.</w:t>
      </w:r>
    </w:p>
    <w:p>
      <w:pPr>
        <w:pStyle w:val="BodyText"/>
      </w:pPr>
      <w:r>
        <w:rPr>
          <w:bCs/>
          <w:b/>
        </w:rPr>
        <w:t xml:space="preserve">5.3</w:t>
      </w:r>
      <w:r>
        <w:t xml:space="preserve"> </w:t>
      </w:r>
      <w:r>
        <w:t xml:space="preserve">The</w:t>
      </w:r>
      <w:r>
        <w:t xml:space="preserve"> </w:t>
      </w:r>
      <w:r>
        <w:t xml:space="preserve">University Lecturer</w:t>
      </w:r>
      <w:r>
        <w:t xml:space="preserve"> </w:t>
      </w:r>
      <w:r>
        <w:t xml:space="preserve">shall maintain professional liability insurance (Seguro de Responsabilidade Civil Profissional) with a minimum coverage of R$ 500,000.00 throughout the engagement period.</w:t>
      </w:r>
    </w:p>
    <w:p>
      <w:pPr>
        <w:pStyle w:val="BodyText"/>
      </w:pPr>
      <w:r>
        <w:rPr>
          <w:bCs/>
          <w:b/>
        </w:rPr>
        <w:t xml:space="preserve">5.4</w:t>
      </w:r>
      <w:r>
        <w:t xml:space="preserve"> </w:t>
      </w:r>
      <w:r>
        <w:t xml:space="preserve">Either party may terminate the engagement with thirty (30) days' written notice. In the event of termination for convenience, the</w:t>
      </w:r>
      <w:r>
        <w:t xml:space="preserve"> </w:t>
      </w:r>
      <w:r>
        <w:t xml:space="preserve">University Lecturer</w:t>
      </w:r>
      <w:r>
        <w:t xml:space="preserve"> </w:t>
      </w:r>
      <w:r>
        <w:t xml:space="preserve">shall be compensated for all services rendered up to the effective date of termination.</w:t>
      </w:r>
    </w:p>
    <w:p>
      <w:pPr>
        <w:pStyle w:val="BodyText"/>
      </w:pPr>
      <w:r>
        <w:rPr>
          <w:bCs/>
          <w:b/>
        </w:rPr>
        <w:t xml:space="preserve">5.5</w:t>
      </w:r>
      <w:r>
        <w:t xml:space="preserve"> </w:t>
      </w:r>
      <w:r>
        <w:t xml:space="preserve">All intellectual property created specifically for the institution under this engagement shall be jointly owned, with the</w:t>
      </w:r>
      <w:r>
        <w:t xml:space="preserve"> </w:t>
      </w:r>
      <w:r>
        <w:t xml:space="preserve">University Lecturer</w:t>
      </w:r>
      <w:r>
        <w:t xml:space="preserve"> </w:t>
      </w:r>
      <w:r>
        <w:t xml:space="preserve">retaining the right to use such materials in future academic and research activities, provided the institution is duly acknowledged.</w:t>
      </w:r>
    </w:p>
    <w:p>
      <w:pPr>
        <w:pStyle w:val="BodyText"/>
      </w:pPr>
      <w:r>
        <w:rPr>
          <w:bCs/>
          <w:b/>
        </w:rPr>
        <w:t xml:space="preserve">5.6</w:t>
      </w:r>
      <w:r>
        <w:t xml:space="preserve"> </w:t>
      </w:r>
      <w:r>
        <w:t xml:space="preserve">This engagement is subject to the data-protection provisions of the General Data Protection Law of Brazil (Lei Geral de Proteção de Dados – LGPD, Law No. 13.709/2018). Both parties commit to the lawful processing of any personal data exchanged in the course of the academic relationship.</w:t>
      </w:r>
    </w:p>
    <w:p>
      <w:pPr>
        <w:pStyle w:val="BodyText"/>
      </w:pPr>
      <w:r>
        <w:rPr>
          <w:bCs/>
          <w:b/>
        </w:rPr>
        <w:t xml:space="preserve">5.7</w:t>
      </w:r>
      <w:r>
        <w:t xml:space="preserve"> </w:t>
      </w:r>
      <w:r>
        <w:t xml:space="preserve">Disputes arising from this</w:t>
      </w:r>
      <w:r>
        <w:t xml:space="preserve"> </w:t>
      </w:r>
      <w:r>
        <w:t xml:space="preserve">Quotation Estimate</w:t>
      </w:r>
      <w:r>
        <w:t xml:space="preserve"> </w:t>
      </w:r>
      <w:r>
        <w:t xml:space="preserve">or the subsequent contract shall be resolved by the competent courts of the city of São Paulo, state of São Paulo, Brazil, or by arbitration under the rules of the Câmara de Arbitragem do Centro de Arbitragem e Mediação da Câmara de Comércio Brasil-Canadá, at the election of the aggrieved party.</w:t>
      </w:r>
    </w:p>
    <w:bookmarkEnd w:id="25"/>
    <w:bookmarkStart w:id="26" w:name="acceptance-and-authorization"/>
    <w:p>
      <w:pPr>
        <w:pStyle w:val="Heading2"/>
      </w:pPr>
      <w:r>
        <w:t xml:space="preserve">6. Acceptance and Authorization</w:t>
      </w:r>
    </w:p>
    <w:p>
      <w:pPr>
        <w:pStyle w:val="FirstParagraph"/>
      </w:pPr>
      <w:r>
        <w:t xml:space="preserve">By signing below, the undersigned parties acknowledge and accept the terms, conditions, and cost structure set forth in this</w:t>
      </w:r>
      <w:r>
        <w:t xml:space="preserve"> </w:t>
      </w:r>
      <w:r>
        <w:t xml:space="preserve">Quotation Estimate</w:t>
      </w:r>
      <w:r>
        <w:t xml:space="preserve"> </w:t>
      </w:r>
      <w:r>
        <w:t xml:space="preserve">for the engagement of the</w:t>
      </w:r>
      <w:r>
        <w:t xml:space="preserve"> </w:t>
      </w:r>
      <w:r>
        <w:t xml:space="preserve">University Lecturer</w:t>
      </w:r>
      <w:r>
        <w:t xml:space="preserve"> </w:t>
      </w:r>
      <w:r>
        <w:t xml:space="preserve">in the academic operations of the institution located in</w:t>
      </w:r>
      <w:r>
        <w:t xml:space="preserve"> </w:t>
      </w:r>
      <w:r>
        <w:t xml:space="preserve">Brazil, São Paulo</w:t>
      </w:r>
      <w:r>
        <w:t xml:space="preserve">.</w:t>
      </w:r>
    </w:p>
    <w:p>
      <w:pPr>
        <w:pStyle w:val="BodyText"/>
      </w:pPr>
      <w:r>
        <w:rPr>
          <w:bCs/>
          <w:b/>
        </w:rPr>
        <w:t xml:space="preserve">For the Institution:</w:t>
      </w:r>
      <w:r>
        <w:br/>
      </w:r>
      <w:r>
        <w:t xml:space="preserve">Faculdade de Ciências Aplicadas de São Paulo</w:t>
      </w:r>
    </w:p>
    <w:p>
      <w:pPr>
        <w:pStyle w:val="BodyText"/>
      </w:pPr>
      <w:r>
        <w:t xml:space="preserve">Name: ______________________________</w:t>
      </w:r>
      <w:r>
        <w:br/>
      </w:r>
      <w:r>
        <w:t xml:space="preserve">Title: Reitor / Academic Director</w:t>
      </w:r>
      <w:r>
        <w:br/>
      </w:r>
      <w:r>
        <w:t xml:space="preserve">Date: ______________________________</w:t>
      </w:r>
    </w:p>
    <w:p>
      <w:pPr>
        <w:pStyle w:val="BodyText"/>
      </w:pPr>
      <w:r>
        <w:rPr>
          <w:bCs/>
          <w:b/>
        </w:rPr>
        <w:t xml:space="preserve">For the University Lecturer:</w:t>
      </w:r>
      <w:r>
        <w:br/>
      </w:r>
      <w:r>
        <w:t xml:space="preserve">Dr. Ricardo Almeida Santos</w:t>
      </w:r>
    </w:p>
    <w:p>
      <w:pPr>
        <w:pStyle w:val="BodyText"/>
      </w:pPr>
      <w:r>
        <w:t xml:space="preserve">Name: ______________________________</w:t>
      </w:r>
      <w:r>
        <w:br/>
      </w:r>
      <w:r>
        <w:t xml:space="preserve">CNPJ: 12.345.678/0001-90</w:t>
      </w:r>
      <w:r>
        <w:br/>
      </w:r>
      <w:r>
        <w:t xml:space="preserve">Date: ______________________________</w:t>
      </w:r>
    </w:p>
    <w:p>
      <w:pPr>
        <w:pStyle w:val="BodyText"/>
      </w:pPr>
      <w:r>
        <w:t xml:space="preserve">Quotation Estimate QTE-SP-2025-04871 | University Lecturer Services | Brazil – São Paulo | Page 1 of 1</w:t>
      </w:r>
    </w:p>
    <w:p>
      <w:pPr>
        <w:pStyle w:val="BodyText"/>
      </w:pPr>
      <w:r>
        <w:t xml:space="preserve">This document is generated for the exclusive use of the parties named herein and does not constitute a binding contract until formally executed in writing by both parties.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Brazil São Paulo</dc:title>
  <dc:creator/>
  <dc:language>en</dc:language>
  <cp:keywords/>
  <dcterms:created xsi:type="dcterms:W3CDTF">2026-10-10T01:24:32Z</dcterms:created>
  <dcterms:modified xsi:type="dcterms:W3CDTF">2026-10-10T01:24:32Z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