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the Academic Division, Canada Toronto</w:t>
      </w:r>
    </w:p>
    <w:bookmarkEnd w:id="20"/>
    <w:p>
      <w:pPr>
        <w:pStyle w:val="BodyText"/>
      </w:pPr>
      <w:r>
        <w:rPr>
          <w:bCs/>
          <w:b/>
        </w:rPr>
        <w:t xml:space="preserve">Quotation Estimate No.:</w:t>
      </w:r>
      <w:r>
        <w:t xml:space="preserve"> </w:t>
      </w:r>
      <w:r>
        <w:t xml:space="preserve">QE-2025-TOR-0472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A. Thornton</w:t>
      </w:r>
      <w:r>
        <w:br/>
      </w:r>
      <w:r>
        <w:rPr>
          <w:bCs/>
          <w:b/>
        </w:rPr>
        <w:t xml:space="preserve">Title:</w:t>
      </w:r>
      <w:r>
        <w:t xml:space="preserve"> </w:t>
      </w:r>
      <w:r>
        <w:t xml:space="preserve">Senior Academic Consultant</w:t>
      </w:r>
      <w:r>
        <w:br/>
      </w:r>
      <w:r>
        <w:rPr>
          <w:bCs/>
          <w:b/>
        </w:rPr>
        <w:t xml:space="preserve">Location:</w:t>
      </w:r>
      <w:r>
        <w:t xml:space="preserve"> </w:t>
      </w:r>
      <w:r>
        <w:t xml:space="preserve">Canada Toronto, ON M5V 2T2</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for academic instructional services submitted by the Department of Applied Sciences at a recognized post-secondary institution located in Canada Toronto. The purpose of this document is to provide a comprehensive, itemized financial proposal for the engagement of a qualified University Lecturer to deliver a full academic term of instruction, research supervision, and departmental service contributions. All figures presented herein are denominated in Canadian Dollars (CAD) and reflect current market rates applicable to academic professionals operating within the Canada Toronto metropolitan region.</w:t>
      </w:r>
    </w:p>
    <w:p>
      <w:pPr>
        <w:pStyle w:val="BodyText"/>
      </w:pPr>
      <w:r>
        <w:t xml:space="preserve">The University Lecturer engagement described in this Quotation Estimate encompasses a twelve-month academic cycle, commencing September 1, 2025, and concluding August 31, 2026. The scope includes but is not limited to: delivery of two (2) undergraduate courses and one (1) graduate-level seminar, supervision of a minimum of four (4) Master's thesis candidates, participation in departmental committee meetings, and contribution to the institution's research output in alignment with its strategic academic plan.</w:t>
      </w:r>
    </w:p>
    <w:bookmarkEnd w:id="21"/>
    <w:bookmarkStart w:id="22" w:name="Xb6b0e04898b386e067cddf6d815cecd27fbd7d5"/>
    <w:p>
      <w:pPr>
        <w:pStyle w:val="Heading2"/>
      </w:pPr>
      <w:r>
        <w:t xml:space="preserve">2. Detailed Line Items — University Lecturer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Undergraduate Course Delivery — "Principles of Applied Physics" (3 credit hours, 3 hrs/week)</w:t>
            </w:r>
          </w:p>
        </w:tc>
        <w:tc>
          <w:tcPr/>
          <w:p>
            <w:pPr>
              <w:pStyle w:val="Compact"/>
              <w:jc w:val="left"/>
            </w:pPr>
            <w:r>
              <w:t xml:space="preserve">15 weeks</w:t>
            </w:r>
          </w:p>
        </w:tc>
        <w:tc>
          <w:tcPr/>
          <w:p>
            <w:pPr>
              <w:pStyle w:val="Compact"/>
              <w:jc w:val="left"/>
            </w:pPr>
            <w:r>
              <w:t xml:space="preserve">$4,200 / term</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Undergraduate Course Delivery — "Advanced Thermodynamics &amp; Statistical Mechanics" (3 credit hours, 3 hrs/week)</w:t>
            </w:r>
          </w:p>
        </w:tc>
        <w:tc>
          <w:tcPr/>
          <w:p>
            <w:pPr>
              <w:pStyle w:val="Compact"/>
              <w:jc w:val="left"/>
            </w:pPr>
            <w:r>
              <w:t xml:space="preserve">15 weeks</w:t>
            </w:r>
          </w:p>
        </w:tc>
        <w:tc>
          <w:tcPr/>
          <w:p>
            <w:pPr>
              <w:pStyle w:val="Compact"/>
              <w:jc w:val="left"/>
            </w:pPr>
            <w:r>
              <w:t xml:space="preserve">$4,200 / term</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Graduate Seminar — "Emerging Research in Quantum Materials" (2 credit hours, 2 hrs/week)</w:t>
            </w:r>
          </w:p>
        </w:tc>
        <w:tc>
          <w:tcPr/>
          <w:p>
            <w:pPr>
              <w:pStyle w:val="Compact"/>
              <w:jc w:val="left"/>
            </w:pPr>
            <w:r>
              <w:t xml:space="preserve">15 weeks</w:t>
            </w:r>
          </w:p>
        </w:tc>
        <w:tc>
          <w:tcPr/>
          <w:p>
            <w:pPr>
              <w:pStyle w:val="Compact"/>
              <w:jc w:val="left"/>
            </w:pPr>
            <w:r>
              <w:t xml:space="preserve">$5,600 / term</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Thesis Supervision — Master's Candidates (minimum 4 students, bi-weekly meetings)</w:t>
            </w:r>
          </w:p>
        </w:tc>
        <w:tc>
          <w:tcPr/>
          <w:p>
            <w:pPr>
              <w:pStyle w:val="Compact"/>
              <w:jc w:val="left"/>
            </w:pPr>
            <w:r>
              <w:t xml:space="preserve">12 months</w:t>
            </w:r>
          </w:p>
        </w:tc>
        <w:tc>
          <w:tcPr/>
          <w:p>
            <w:pPr>
              <w:pStyle w:val="Compact"/>
              <w:jc w:val="left"/>
            </w:pPr>
            <w:r>
              <w:t xml:space="preserve">$1,800 / student</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Departmental Committee Participation — Curriculum, Admissions, and Research Ethics Boards</w:t>
            </w:r>
          </w:p>
        </w:tc>
        <w:tc>
          <w:tcPr/>
          <w:p>
            <w:pPr>
              <w:pStyle w:val="Compact"/>
              <w:jc w:val="left"/>
            </w:pPr>
            <w:r>
              <w:t xml:space="preserve">Monthly (12 sessions)</w:t>
            </w:r>
          </w:p>
        </w:tc>
        <w:tc>
          <w:tcPr/>
          <w:p>
            <w:pPr>
              <w:pStyle w:val="Compact"/>
              <w:jc w:val="left"/>
            </w:pPr>
            <w:r>
              <w:t xml:space="preserve">$350 / session</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Office Hours &amp; Student Mentoring (in-person and virtual, Canada Toronto campus)</w:t>
            </w:r>
          </w:p>
        </w:tc>
        <w:tc>
          <w:tcPr/>
          <w:p>
            <w:pPr>
              <w:pStyle w:val="Compact"/>
              <w:jc w:val="left"/>
            </w:pPr>
            <w:r>
              <w:t xml:space="preserve">6 hrs/week</w:t>
            </w:r>
          </w:p>
        </w:tc>
        <w:tc>
          <w:tcPr/>
          <w:p>
            <w:pPr>
              <w:pStyle w:val="Compact"/>
              <w:jc w:val="left"/>
            </w:pPr>
            <w:r>
              <w:t xml:space="preserve">$95 / hour</w:t>
            </w:r>
          </w:p>
        </w:tc>
        <w:tc>
          <w:tcPr/>
          <w:p>
            <w:pPr>
              <w:pStyle w:val="Compact"/>
              <w:jc w:val="left"/>
            </w:pPr>
            <w:r>
              <w:t xml:space="preserve">$7,410.00</w:t>
            </w:r>
          </w:p>
        </w:tc>
      </w:tr>
      <w:tr>
        <w:tc>
          <w:tcPr/>
          <w:p>
            <w:pPr>
              <w:pStyle w:val="Compact"/>
              <w:jc w:val="left"/>
            </w:pPr>
            <w:r>
              <w:t xml:space="preserve">07</w:t>
            </w:r>
          </w:p>
        </w:tc>
        <w:tc>
          <w:tcPr/>
          <w:p>
            <w:pPr>
              <w:pStyle w:val="Compact"/>
              <w:jc w:val="left"/>
            </w:pPr>
            <w:r>
              <w:t xml:space="preserve">Research Output — Minimum 2 peer-reviewed publications and 1 conference presentation</w:t>
            </w:r>
          </w:p>
        </w:tc>
        <w:tc>
          <w:tcPr/>
          <w:p>
            <w:pPr>
              <w:pStyle w:val="Compact"/>
              <w:jc w:val="left"/>
            </w:pPr>
            <w:r>
              <w:t xml:space="preserve">12 months</w:t>
            </w:r>
          </w:p>
        </w:tc>
        <w:tc>
          <w:tcPr/>
          <w:p>
            <w:pPr>
              <w:pStyle w:val="Compact"/>
              <w:jc w:val="left"/>
            </w:pPr>
            <w:r>
              <w:t xml:space="preserve">$3,500 / deliverable</w:t>
            </w:r>
          </w:p>
        </w:tc>
        <w:tc>
          <w:tcPr/>
          <w:p>
            <w:pPr>
              <w:pStyle w:val="Compact"/>
              <w:jc w:val="left"/>
            </w:pPr>
            <w:r>
              <w:t xml:space="preserve">$10,500.00</w:t>
            </w:r>
          </w:p>
        </w:tc>
      </w:tr>
      <w:tr>
        <w:tc>
          <w:tcPr/>
          <w:p>
            <w:pPr>
              <w:pStyle w:val="Compact"/>
              <w:jc w:val="left"/>
            </w:pPr>
            <w:r>
              <w:t xml:space="preserve">08</w:t>
            </w:r>
          </w:p>
        </w:tc>
        <w:tc>
          <w:tcPr/>
          <w:p>
            <w:pPr>
              <w:pStyle w:val="Compact"/>
              <w:jc w:val="left"/>
            </w:pPr>
            <w:r>
              <w:t xml:space="preserve">Curriculum Development &amp; Assessment Design (new modules, rubrics, exam banks)</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Professional Development &amp; Conference Travel (within Canada Toronto and Ontario)</w:t>
            </w:r>
          </w:p>
        </w:tc>
        <w:tc>
          <w:tcPr/>
          <w:p>
            <w:pPr>
              <w:pStyle w:val="Compact"/>
              <w:jc w:val="left"/>
            </w:pPr>
            <w:r>
              <w:t xml:space="preserve">2 events</w:t>
            </w:r>
          </w:p>
        </w:tc>
        <w:tc>
          <w:tcPr/>
          <w:p>
            <w:pPr>
              <w:pStyle w:val="Compact"/>
              <w:jc w:val="left"/>
            </w:pPr>
            <w:r>
              <w:t xml:space="preserve">$1,200 / event</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Administrative Support &amp; Reporting (grade submission, progress reports, annual review documentation)</w:t>
            </w:r>
          </w:p>
        </w:tc>
        <w:tc>
          <w:tcPr/>
          <w:p>
            <w:pPr>
              <w:pStyle w:val="Compact"/>
              <w:jc w:val="left"/>
            </w:pPr>
            <w:r>
              <w:t xml:space="preserve">Ongoing</w:t>
            </w:r>
          </w:p>
        </w:tc>
        <w:tc>
          <w:tcPr/>
          <w:p>
            <w:pPr>
              <w:pStyle w:val="Compact"/>
              <w:jc w:val="left"/>
            </w:pPr>
            <w:r>
              <w:t xml:space="preserve">$150 / month</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$51,310.00</w:t>
            </w:r>
          </w:p>
        </w:tc>
      </w:tr>
      <w:tr>
        <w:tc>
          <w:tcPr>
            <w:gridSpan w:val="4"/>
          </w:tcPr>
          <w:p>
            <w:pPr>
              <w:pStyle w:val="Compact"/>
              <w:jc w:val="right"/>
            </w:pPr>
            <w:r>
              <w:t xml:space="preserve">Applicable HST (13% — Ontario, Canada Toronto)</w:t>
            </w:r>
          </w:p>
        </w:tc>
        <w:tc>
          <w:tcPr/>
          <w:p>
            <w:pPr>
              <w:pStyle w:val="Compact"/>
              <w:jc w:val="left"/>
            </w:pPr>
            <w:r>
              <w:t xml:space="preserve">$6,670.30</w:t>
            </w:r>
          </w:p>
        </w:tc>
      </w:tr>
      <w:tr>
        <w:tc>
          <w:tcPr>
            <w:gridSpan w:val="4"/>
          </w:tcPr>
          <w:p>
            <w:pPr>
              <w:pStyle w:val="Compact"/>
              <w:jc w:val="right"/>
            </w:pPr>
            <w:r>
              <w:t xml:space="preserve">TOTAL QUOTATION ESTIMATE AMOUNT</w:t>
            </w:r>
          </w:p>
        </w:tc>
        <w:tc>
          <w:tcPr/>
          <w:p>
            <w:pPr>
              <w:pStyle w:val="Compact"/>
              <w:jc w:val="left"/>
            </w:pPr>
            <w:r>
              <w:t xml:space="preserve">$57,980.30</w:t>
            </w:r>
          </w:p>
        </w:tc>
      </w:tr>
    </w:tbl>
    <w:bookmarkEnd w:id="22"/>
    <w:bookmarkStart w:id="23" w:name="payment-schedule"/>
    <w:p>
      <w:pPr>
        <w:pStyle w:val="Heading2"/>
      </w:pPr>
      <w:r>
        <w:t xml:space="preserve">3. Payment Schedule</w:t>
      </w:r>
    </w:p>
    <w:p>
      <w:pPr>
        <w:pStyle w:val="FirstParagraph"/>
      </w:pPr>
      <w:r>
        <w:t xml:space="preserve">In accordance with standard academic billing practices in Canada Toronto, the total amount specified in this Quotation Estimate shall be disbursed in four (4) equal quarterly installments. The first installment of $14,495.08 (inclusive of HST) shall be due within fifteen (15) business days of the formal acceptance of this Quotation Estimate. Subsequent installments shall be due on December 15, 2025, March 15, 2026, and June 15, 2026, respectively. Late payments shall incur a penalty of 1.5% per month on the outstanding balance, consistent with the Ontario Business Corporations Act provisions applicable to service agreements in Canada Toronto.</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Beyond this period, all rates and terms are subject to revision based on prevailing academic labour market conditions in Canada Toronto.</w:t>
      </w:r>
    </w:p>
    <w:p>
      <w:pPr>
        <w:numPr>
          <w:ilvl w:val="0"/>
          <w:numId w:val="1001"/>
        </w:numPr>
        <w:pStyle w:val="Compact"/>
      </w:pPr>
      <w:r>
        <w:rPr>
          <w:bCs/>
          <w:b/>
        </w:rPr>
        <w:t xml:space="preserve">Acceptance:</w:t>
      </w:r>
      <w:r>
        <w:t xml:space="preserve"> </w:t>
      </w:r>
      <w:r>
        <w:t xml:space="preserve">Formal acceptance of this Quotation Estimate must be communicated in writing via signed letter or electronic acknowledgment to the undersigned consultant. Verbal acceptance shall not constitute a binding agreement.</w:t>
      </w:r>
    </w:p>
    <w:p>
      <w:pPr>
        <w:numPr>
          <w:ilvl w:val="0"/>
          <w:numId w:val="1001"/>
        </w:numPr>
        <w:pStyle w:val="Compact"/>
      </w:pPr>
      <w:r>
        <w:rPr>
          <w:bCs/>
          <w:b/>
        </w:rPr>
        <w:t xml:space="preserve">Scope Changes:</w:t>
      </w:r>
      <w:r>
        <w:t xml:space="preserve"> </w:t>
      </w:r>
      <w:r>
        <w:t xml:space="preserve">Any modification to the scope of University Lecturer services outlined herein, including additional courses, increased supervision loads, or extended research obligations, shall require a written amendment to this Quotation Estimate and a corresponding adjustment to the total financial commitment.</w:t>
      </w:r>
    </w:p>
    <w:p>
      <w:pPr>
        <w:numPr>
          <w:ilvl w:val="0"/>
          <w:numId w:val="1001"/>
        </w:numPr>
        <w:pStyle w:val="Compact"/>
      </w:pPr>
      <w:r>
        <w:rPr>
          <w:bCs/>
          <w:b/>
        </w:rPr>
        <w:t xml:space="preserve">Confidentiality:</w:t>
      </w:r>
      <w:r>
        <w:t xml:space="preserve"> </w:t>
      </w:r>
      <w:r>
        <w:t xml:space="preserve">The University Lecturer shall adhere to all institutional confidentiality policies, including but not limited to the protection of student records under the Personal Information Protection and Electronic Documents Act (PIPEDA) and the Ontario Freedom of Information and Protection of Privacy Act (FIPPA).</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 pro-rated settlement of the Quotation Estimate amount shall be calculated based on services rendered up to the termination date.</w:t>
      </w:r>
    </w:p>
    <w:p>
      <w:pPr>
        <w:numPr>
          <w:ilvl w:val="0"/>
          <w:numId w:val="1001"/>
        </w:numPr>
        <w:pStyle w:val="Compact"/>
      </w:pPr>
      <w:r>
        <w:rPr>
          <w:bCs/>
          <w:b/>
        </w:rPr>
        <w:t xml:space="preserve">Governing Law:</w:t>
      </w:r>
      <w:r>
        <w:t xml:space="preserve"> </w:t>
      </w:r>
      <w:r>
        <w:t xml:space="preserve">This Quotation Estimate and the resulting service agreement shall be governed by and interpreted in accordance with the laws of the Province of Ontario and the federal laws of Canada applicable in Canada Toronto.</w:t>
      </w:r>
    </w:p>
    <w:p>
      <w:pPr>
        <w:numPr>
          <w:ilvl w:val="0"/>
          <w:numId w:val="1001"/>
        </w:numPr>
        <w:pStyle w:val="Compact"/>
      </w:pPr>
      <w:r>
        <w:rPr>
          <w:bCs/>
          <w:b/>
        </w:rPr>
        <w:t xml:space="preserve">Dispute Resolution:</w:t>
      </w:r>
      <w:r>
        <w:t xml:space="preserve"> </w:t>
      </w:r>
      <w:r>
        <w:t xml:space="preserve">Any disputes arising from this Quotation Estimate shall first be addressed through good-faith negotiation. Should resolution not be achieved within thirty (30) days, the matter shall be submitted to mediation under the Ontario Arbitration Act before any formal litigation is pursued.</w:t>
      </w:r>
    </w:p>
    <w:p>
      <w:pPr>
        <w:numPr>
          <w:ilvl w:val="0"/>
          <w:numId w:val="1001"/>
        </w:numPr>
        <w:pStyle w:val="Compact"/>
      </w:pPr>
      <w:r>
        <w:rPr>
          <w:bCs/>
          <w:b/>
        </w:rPr>
        <w:t xml:space="preserve">Insurance and Liability:</w:t>
      </w:r>
      <w:r>
        <w:t xml:space="preserve"> </w:t>
      </w:r>
      <w:r>
        <w:t xml:space="preserve">The University Lecturer shall maintain professional liability insurance with a minimum coverage of $2,000,000 CAD throughout the duration of the engagement, as is standard practice for academic professionals in Canada Toronto.</w:t>
      </w:r>
    </w:p>
    <w:bookmarkEnd w:id="24"/>
    <w:bookmarkStart w:id="25" w:name="Xc57f5b1838a27a694a75f19c9db033bdecd9f07"/>
    <w:p>
      <w:pPr>
        <w:pStyle w:val="Heading2"/>
      </w:pPr>
      <w:r>
        <w:t xml:space="preserve">5. Qualifications of the Proposed University Lecturer</w:t>
      </w:r>
    </w:p>
    <w:p>
      <w:pPr>
        <w:pStyle w:val="FirstParagraph"/>
      </w:pPr>
      <w:r>
        <w:t xml:space="preserve">The University Lecturer proposed for this engagement holds a Ph.D. in Applied Physics from a recognized Canadian university, possesses a minimum of eight (8) years of postdoctoral and teaching experience, and is a certified member of the Association of Canadian College and University Teachers (ACCUT). The candidate has published over twenty-five (25) peer-reviewed articles in internationally indexed journals and has previously held a full-time University Lecturer position at a top-tier institution in Canada Toronto. All qualifications have been verified and are on file with the issuing consultancy.</w:t>
      </w:r>
    </w:p>
    <w:bookmarkEnd w:id="25"/>
    <w:p>
      <w:pPr>
        <w:pStyle w:val="BodyText"/>
      </w:pPr>
      <w:r>
        <w:rPr>
          <w:bCs/>
          <w:b/>
        </w:rPr>
        <w:t xml:space="preserve">Prepared and Issued By:</w:t>
      </w:r>
    </w:p>
    <w:p>
      <w:pPr>
        <w:pStyle w:val="BodyText"/>
      </w:pPr>
      <w:r>
        <w:t xml:space="preserve">Dr. Margaret A. Thornton</w:t>
      </w:r>
      <w:r>
        <w:br/>
      </w:r>
      <w:r>
        <w:t xml:space="preserve">Senior Academic Consultant</w:t>
      </w:r>
      <w:r>
        <w:br/>
      </w:r>
      <w:r>
        <w:t xml:space="preserve">Date: ______________________</w:t>
      </w:r>
    </w:p>
    <w:p>
      <w:pPr>
        <w:pStyle w:val="BodyText"/>
      </w:pPr>
      <w:r>
        <w:rPr>
          <w:bCs/>
          <w:b/>
        </w:rPr>
        <w:t xml:space="preserve">Accepted and Authorized By:</w:t>
      </w:r>
    </w:p>
    <w:p>
      <w:pPr>
        <w:pStyle w:val="BodyText"/>
      </w:pPr>
      <w:r>
        <w:t xml:space="preserve">Name: ______________________</w:t>
      </w:r>
      <w:r>
        <w:br/>
      </w:r>
      <w:r>
        <w:t xml:space="preserve">Title: ______________________</w:t>
      </w:r>
      <w:r>
        <w:br/>
      </w:r>
      <w:r>
        <w:t xml:space="preserve">Institution: ______________________</w:t>
      </w:r>
      <w:r>
        <w:br/>
      </w:r>
      <w:r>
        <w:t xml:space="preserve">Date: ______________________</w:t>
      </w:r>
    </w:p>
    <w:p>
      <w:pPr>
        <w:pStyle w:val="BodyText"/>
      </w:pPr>
      <w:r>
        <w:t xml:space="preserve">Quotation Estimate No. QE-2025-TOR-0472 — University Lecturer Services — Canada Toronto, Ontario, Canada</w:t>
      </w:r>
    </w:p>
    <w:p>
      <w:pPr>
        <w:pStyle w:val="BodyText"/>
      </w:pPr>
      <w:r>
        <w:t xml:space="preserve">This document is confidential and intended solely for the use of the addressee. Unauthorized reproduction or distribution is prohibited.</w:t>
      </w:r>
    </w:p>
    <w:p>
      <w:pPr>
        <w:pStyle w:val="BodyText"/>
      </w:pPr>
      <w:r>
        <w:t xml:space="preserve">© 2025 Thornton Academic Consulting Group, Canada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Canada Toronto</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