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Colombia</w:t>
      </w:r>
      <w:r>
        <w:t xml:space="preserve"> </w:t>
      </w:r>
      <w:r>
        <w:t xml:space="preserve">Bogotá</w:t>
      </w:r>
    </w:p>
    <w:bookmarkStart w:id="20" w:name="academic-talent-solutions-s.a.s."/>
    <w:p>
      <w:pPr>
        <w:pStyle w:val="Heading1"/>
      </w:pPr>
      <w:r>
        <w:t xml:space="preserve">Academic Talent Solutions S.A.S.</w:t>
      </w:r>
    </w:p>
    <w:p>
      <w:pPr>
        <w:pStyle w:val="FirstParagraph"/>
      </w:pPr>
      <w:r>
        <w:t xml:space="preserve">Calle 72 # 10-45, Of. 301, Zona Rosa</w:t>
      </w:r>
    </w:p>
    <w:p>
      <w:pPr>
        <w:pStyle w:val="BodyText"/>
      </w:pPr>
      <w:r>
        <w:t xml:space="preserve">Bogotá D.C., Colombia</w:t>
      </w:r>
    </w:p>
    <w:p>
      <w:pPr>
        <w:pStyle w:val="BodyText"/>
      </w:pPr>
      <w:r>
        <w:t xml:space="preserve">Tel: +57 (601) 555 0142 | Email: quotes@academictalent.co</w:t>
      </w:r>
    </w:p>
    <w:p>
      <w:pPr>
        <w:pStyle w:val="BodyText"/>
      </w:pPr>
      <w:r>
        <w:t xml:space="preserve">NIT: 901.234.567-8</w:t>
      </w:r>
    </w:p>
    <w:bookmarkEnd w:id="20"/>
    <w:p>
      <w:pPr>
        <w:pStyle w:val="BodyText"/>
      </w:pPr>
      <w:r>
        <w:t xml:space="preserve">Document Ref: QTE-2025-0847</w:t>
      </w:r>
    </w:p>
    <w:p>
      <w:pPr>
        <w:pStyle w:val="BodyText"/>
      </w:pPr>
      <w:r>
        <w:t xml:space="preserve">Date: June 15, 2025</w:t>
      </w:r>
    </w:p>
    <w:bookmarkStart w:id="21" w:name="quotation-estimate"/>
    <w:p>
      <w:pPr>
        <w:pStyle w:val="Heading2"/>
      </w:pPr>
      <w:r>
        <w:t xml:space="preserve">Quotation Estimate</w:t>
      </w:r>
    </w:p>
    <w:p>
      <w:pPr>
        <w:pStyle w:val="FirstParagraph"/>
      </w:pPr>
      <w:r>
        <w:t xml:space="preserve">Professional Academic Staffing Services – University Lecturer Placement</w:t>
      </w:r>
    </w:p>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QTE-2025-0847</w:t>
            </w:r>
          </w:p>
        </w:tc>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calendar days)</w:t>
            </w:r>
          </w:p>
        </w:tc>
        <w:tc>
          <w:tcPr/>
          <w:p>
            <w:pPr>
              <w:pStyle w:val="Compact"/>
              <w:jc w:val="left"/>
            </w:pPr>
            <w:r>
              <w:t xml:space="preserve">Currency</w:t>
            </w:r>
          </w:p>
        </w:tc>
        <w:tc>
          <w:tcPr/>
          <w:p>
            <w:pPr>
              <w:pStyle w:val="Compact"/>
              <w:jc w:val="left"/>
            </w:pPr>
            <w:r>
              <w:t xml:space="preserve">COP (Colombian Peso) / USD</w:t>
            </w:r>
          </w:p>
        </w:tc>
      </w:tr>
      <w:tr>
        <w:tc>
          <w:tcPr/>
          <w:p>
            <w:pPr>
              <w:pStyle w:val="Compact"/>
              <w:jc w:val="left"/>
            </w:pPr>
            <w:r>
              <w:t xml:space="preserve">Prepared For</w:t>
            </w:r>
          </w:p>
        </w:tc>
        <w:tc>
          <w:tcPr/>
          <w:p>
            <w:pPr>
              <w:pStyle w:val="Compact"/>
              <w:jc w:val="left"/>
            </w:pPr>
            <w:r>
              <w:t xml:space="preserve">Universidad Nacional de Colombia – Facultad de Ingeniería, Bogotá D.C.</w:t>
            </w:r>
          </w:p>
        </w:tc>
        <w:tc>
          <w:tcPr/>
          <w:p>
            <w:pPr>
              <w:pStyle w:val="Compact"/>
              <w:jc w:val="left"/>
            </w:pPr>
            <w:r>
              <w:t xml:space="preserve">Contact Person</w:t>
            </w:r>
          </w:p>
        </w:tc>
        <w:tc>
          <w:tcPr/>
          <w:p>
            <w:pPr>
              <w:pStyle w:val="Compact"/>
              <w:jc w:val="left"/>
            </w:pPr>
            <w:r>
              <w:t xml:space="preserve">Dr. María Fernanda Restrepo, Decana</w:t>
            </w:r>
          </w:p>
        </w:tc>
      </w:tr>
      <w:tr>
        <w:tc>
          <w:tcPr/>
          <w:p>
            <w:pPr>
              <w:pStyle w:val="Compact"/>
              <w:jc w:val="left"/>
            </w:pPr>
            <w:r>
              <w:t xml:space="preserve">Service Location</w:t>
            </w:r>
          </w:p>
        </w:tc>
        <w:tc>
          <w:tcPr>
            <w:gridSpan w:val="3"/>
          </w:tcPr>
          <w:p>
            <w:pPr>
              <w:pStyle w:val="Compact"/>
              <w:jc w:val="left"/>
            </w:pPr>
            <w:r>
              <w:t xml:space="preserve">Colombia Bogotá – Main Campus, Ciudad Universitaria, A.A. 61-76</w:t>
            </w:r>
          </w:p>
        </w:tc>
      </w:tr>
    </w:tbl>
    <w:bookmarkStart w:id="22" w:name="scope-of-services-and-description"/>
    <w:p>
      <w:pPr>
        <w:pStyle w:val="Heading3"/>
      </w:pPr>
      <w:r>
        <w:t xml:space="preserve">1. Scope of Services and Description</w:t>
      </w:r>
    </w:p>
    <w:p>
      <w:pPr>
        <w:pStyle w:val="FirstParagraph"/>
      </w:pPr>
      <w:r>
        <w:t xml:space="preserve">This</w:t>
      </w:r>
      <w:r>
        <w:t xml:space="preserve"> </w:t>
      </w:r>
      <w:r>
        <w:t xml:space="preserve">Quotation Estimate</w:t>
      </w:r>
      <w:r>
        <w:t xml:space="preserve"> </w:t>
      </w:r>
      <w:r>
        <w:t xml:space="preserve">is issued by Academic Talent Solutions S.A.S. to provide comprehensive professional recruitment, placement, and onboarding services for a</w:t>
      </w:r>
      <w:r>
        <w:t xml:space="preserve"> </w:t>
      </w:r>
      <w:r>
        <w:t xml:space="preserve">University Lecturer</w:t>
      </w:r>
      <w:r>
        <w:t xml:space="preserve"> </w:t>
      </w:r>
      <w:r>
        <w:t xml:space="preserve">position at the Universidad Nacional de Colombia, located in</w:t>
      </w:r>
      <w:r>
        <w:t xml:space="preserve"> </w:t>
      </w:r>
      <w:r>
        <w:t xml:space="preserve">Colombia Bogotá</w:t>
      </w:r>
      <w:r>
        <w:t xml:space="preserve">. The scope of this engagement encompasses the full lifecycle of identifying, vetting, contracting, and integrating a qualified</w:t>
      </w:r>
      <w:r>
        <w:t xml:space="preserve"> </w:t>
      </w:r>
      <w:r>
        <w:t xml:space="preserve">University Lecturer</w:t>
      </w:r>
      <w:r>
        <w:t xml:space="preserve"> </w:t>
      </w:r>
      <w:r>
        <w:t xml:space="preserve">into the academic faculty of the requesting institution.</w:t>
      </w:r>
    </w:p>
    <w:p>
      <w:pPr>
        <w:pStyle w:val="BodyText"/>
      </w:pPr>
      <w:r>
        <w:t xml:space="preserve">The</w:t>
      </w:r>
      <w:r>
        <w:t xml:space="preserve"> </w:t>
      </w:r>
      <w:r>
        <w:t xml:space="preserve">University Lecturer</w:t>
      </w:r>
      <w:r>
        <w:t xml:space="preserve"> </w:t>
      </w:r>
      <w:r>
        <w:t xml:space="preserve">position pertains to the Department of Civil and Environmental Engineering, requiring a candidate with a minimum of a Doctorate degree in a related field, a minimum of five (5) years of post-doctoral teaching experience at the university level, and a proven record of peer-reviewed publications in international journals. The</w:t>
      </w:r>
      <w:r>
        <w:t xml:space="preserve"> </w:t>
      </w:r>
      <w:r>
        <w:t xml:space="preserve">University Lecturer</w:t>
      </w:r>
      <w:r>
        <w:t xml:space="preserve"> </w:t>
      </w:r>
      <w:r>
        <w:t xml:space="preserve">will be responsible for delivering undergraduate and graduate courses, supervising thesis research, conducting applied research projects, and participating in the academic governance of the faculty.</w:t>
      </w:r>
    </w:p>
    <w:p>
      <w:pPr>
        <w:pStyle w:val="BodyText"/>
      </w:pPr>
      <w:r>
        <w:t xml:space="preserve">All recruitment activities will be conducted in compliance with Colombian labor legislation (Código Sustantivo del Trabajo, Ley 50 de 1990) and the specific academic regulations governing faculty appointments at institutions of higher education in</w:t>
      </w:r>
      <w:r>
        <w:t xml:space="preserve"> </w:t>
      </w:r>
      <w:r>
        <w:t xml:space="preserve">Colombia Bogotá</w:t>
      </w:r>
      <w:r>
        <w:t xml:space="preserve">. This</w:t>
      </w:r>
      <w:r>
        <w:t xml:space="preserve"> </w:t>
      </w:r>
      <w:r>
        <w:t xml:space="preserve">Quotation Estimate</w:t>
      </w:r>
      <w:r>
        <w:t xml:space="preserve"> </w:t>
      </w:r>
      <w:r>
        <w:t xml:space="preserve">reflects all costs associated with the described services and is binding upon acceptance by the client within the validity period stated above.</w:t>
      </w:r>
    </w:p>
    <w:bookmarkEnd w:id="22"/>
    <w:bookmarkStart w:id="23"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Amount (COP)</w:t>
            </w:r>
          </w:p>
        </w:tc>
      </w:tr>
      <w:tr>
        <w:tc>
          <w:tcPr/>
          <w:p>
            <w:pPr>
              <w:pStyle w:val="Compact"/>
              <w:jc w:val="left"/>
            </w:pPr>
            <w:r>
              <w:t xml:space="preserve">1</w:t>
            </w:r>
          </w:p>
        </w:tc>
        <w:tc>
          <w:tcPr/>
          <w:p>
            <w:pPr>
              <w:pStyle w:val="Compact"/>
              <w:jc w:val="left"/>
            </w:pPr>
            <w:r>
              <w:t xml:space="preserve">Recruitment &amp; Sourcing</w:t>
            </w:r>
          </w:p>
        </w:tc>
        <w:tc>
          <w:tcPr/>
          <w:p>
            <w:pPr>
              <w:pStyle w:val="Compact"/>
              <w:jc w:val="left"/>
            </w:pPr>
            <w:r>
              <w:t xml:space="preserve">Global and national search for qualified University Lecturer candidates; job posting on academic platforms; direct outreach to PhD holders in engineering disciplines.</w:t>
            </w:r>
          </w:p>
        </w:tc>
        <w:tc>
          <w:tcPr/>
          <w:p>
            <w:pPr>
              <w:pStyle w:val="Compact"/>
              <w:jc w:val="left"/>
            </w:pPr>
            <w:r>
              <w:t xml:space="preserve">1 engagement</w:t>
            </w:r>
          </w:p>
        </w:tc>
        <w:tc>
          <w:tcPr/>
          <w:p>
            <w:pPr>
              <w:pStyle w:val="Compact"/>
              <w:jc w:val="left"/>
            </w:pPr>
            <w:r>
              <w:t xml:space="preserve">$12,500,000</w:t>
            </w:r>
          </w:p>
        </w:tc>
      </w:tr>
      <w:tr>
        <w:tc>
          <w:tcPr/>
          <w:p>
            <w:pPr>
              <w:pStyle w:val="Compact"/>
              <w:jc w:val="left"/>
            </w:pPr>
            <w:r>
              <w:t xml:space="preserve">2</w:t>
            </w:r>
          </w:p>
        </w:tc>
        <w:tc>
          <w:tcPr/>
          <w:p>
            <w:pPr>
              <w:pStyle w:val="Compact"/>
              <w:jc w:val="left"/>
            </w:pPr>
            <w:r>
              <w:t xml:space="preserve">Screening &amp; Assessment</w:t>
            </w:r>
          </w:p>
        </w:tc>
        <w:tc>
          <w:tcPr/>
          <w:p>
            <w:pPr>
              <w:pStyle w:val="Compact"/>
              <w:jc w:val="left"/>
            </w:pPr>
            <w:r>
              <w:t xml:space="preserve">Resume review, academic credential verification, reference checks, structured interviews, and pedagogical evaluation for the University Lecturer candidate pool.</w:t>
            </w:r>
          </w:p>
        </w:tc>
        <w:tc>
          <w:tcPr/>
          <w:p>
            <w:pPr>
              <w:pStyle w:val="Compact"/>
              <w:jc w:val="left"/>
            </w:pPr>
            <w:r>
              <w:t xml:space="preserve">Up to 15 candidates</w:t>
            </w:r>
          </w:p>
        </w:tc>
        <w:tc>
          <w:tcPr/>
          <w:p>
            <w:pPr>
              <w:pStyle w:val="Compact"/>
              <w:jc w:val="left"/>
            </w:pPr>
            <w:r>
              <w:t xml:space="preserve">$8,200,000</w:t>
            </w:r>
          </w:p>
        </w:tc>
      </w:tr>
      <w:tr>
        <w:tc>
          <w:tcPr/>
          <w:p>
            <w:pPr>
              <w:pStyle w:val="Compact"/>
              <w:jc w:val="left"/>
            </w:pPr>
            <w:r>
              <w:t xml:space="preserve">3</w:t>
            </w:r>
          </w:p>
        </w:tc>
        <w:tc>
          <w:tcPr/>
          <w:p>
            <w:pPr>
              <w:pStyle w:val="Compact"/>
              <w:jc w:val="left"/>
            </w:pPr>
            <w:r>
              <w:t xml:space="preserve">Legal &amp; Contractual Support</w:t>
            </w:r>
          </w:p>
        </w:tc>
        <w:tc>
          <w:tcPr/>
          <w:p>
            <w:pPr>
              <w:pStyle w:val="Compact"/>
              <w:jc w:val="left"/>
            </w:pPr>
            <w:r>
              <w:t xml:space="preserve">Preparation of employment contract, compliance review with Colombian labor law, visa sponsorship documentation (if applicable for foreign candidates), and registration with the Colombian Social Security System (Pensión, Salud, ARL).</w:t>
            </w:r>
          </w:p>
        </w:tc>
        <w:tc>
          <w:tcPr/>
          <w:p>
            <w:pPr>
              <w:pStyle w:val="Compact"/>
              <w:jc w:val="left"/>
            </w:pPr>
            <w:r>
              <w:t xml:space="preserve">1 contract package</w:t>
            </w:r>
          </w:p>
        </w:tc>
        <w:tc>
          <w:tcPr/>
          <w:p>
            <w:pPr>
              <w:pStyle w:val="Compact"/>
              <w:jc w:val="left"/>
            </w:pPr>
            <w:r>
              <w:t xml:space="preserve">$5,800,000</w:t>
            </w:r>
          </w:p>
        </w:tc>
      </w:tr>
      <w:tr>
        <w:tc>
          <w:tcPr/>
          <w:p>
            <w:pPr>
              <w:pStyle w:val="Compact"/>
              <w:jc w:val="left"/>
            </w:pPr>
            <w:r>
              <w:t xml:space="preserve">4</w:t>
            </w:r>
          </w:p>
        </w:tc>
        <w:tc>
          <w:tcPr/>
          <w:p>
            <w:pPr>
              <w:pStyle w:val="Compact"/>
              <w:jc w:val="left"/>
            </w:pPr>
            <w:r>
              <w:t xml:space="preserve">Onboarding &amp; Integration</w:t>
            </w:r>
          </w:p>
        </w:tc>
        <w:tc>
          <w:tcPr/>
          <w:p>
            <w:pPr>
              <w:pStyle w:val="Compact"/>
              <w:jc w:val="left"/>
            </w:pPr>
            <w:r>
              <w:t xml:space="preserve">Orientation program for the University Lecturer in Colombia Bogotá; campus familiarization; IT systems setup; academic calendar alignment; mentorship pairing with senior faculty.</w:t>
            </w:r>
          </w:p>
        </w:tc>
        <w:tc>
          <w:tcPr/>
          <w:p>
            <w:pPr>
              <w:pStyle w:val="Compact"/>
              <w:jc w:val="left"/>
            </w:pPr>
            <w:r>
              <w:t xml:space="preserve">2 weeks</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Relocation Assistance (if applicable)</w:t>
            </w:r>
          </w:p>
        </w:tc>
        <w:tc>
          <w:tcPr/>
          <w:p>
            <w:pPr>
              <w:pStyle w:val="Compact"/>
              <w:jc w:val="left"/>
            </w:pPr>
            <w:r>
              <w:t xml:space="preserve">Temporary housing arrangement in Bogotá, airport transfer, local bank account setup, and family integration support for the University Lecturer and dependents.</w:t>
            </w:r>
          </w:p>
        </w:tc>
        <w:tc>
          <w:tcPr/>
          <w:p>
            <w:pPr>
              <w:pStyle w:val="Compact"/>
              <w:jc w:val="left"/>
            </w:pPr>
            <w:r>
              <w:t xml:space="preserve">1 family unit</w:t>
            </w:r>
          </w:p>
        </w:tc>
        <w:tc>
          <w:tcPr/>
          <w:p>
            <w:pPr>
              <w:pStyle w:val="Compact"/>
              <w:jc w:val="left"/>
            </w:pPr>
            <w:r>
              <w:t xml:space="preserve">$18,000,000</w:t>
            </w:r>
          </w:p>
        </w:tc>
      </w:tr>
      <w:tr>
        <w:tc>
          <w:tcPr/>
          <w:p>
            <w:pPr>
              <w:pStyle w:val="Compact"/>
              <w:jc w:val="left"/>
            </w:pPr>
            <w:r>
              <w:t xml:space="preserve">6</w:t>
            </w:r>
          </w:p>
        </w:tc>
        <w:tc>
          <w:tcPr/>
          <w:p>
            <w:pPr>
              <w:pStyle w:val="Compact"/>
              <w:jc w:val="left"/>
            </w:pPr>
            <w:r>
              <w:t xml:space="preserve">Post-Placement Follow-Up</w:t>
            </w:r>
          </w:p>
        </w:tc>
        <w:tc>
          <w:tcPr/>
          <w:p>
            <w:pPr>
              <w:pStyle w:val="Compact"/>
              <w:jc w:val="left"/>
            </w:pPr>
            <w:r>
              <w:t xml:space="preserve">90-day performance check-in, feedback session with the University Lecturer and department head, and resolution support for any integration issues in Colombia Bogotá.</w:t>
            </w:r>
          </w:p>
        </w:tc>
        <w:tc>
          <w:tcPr/>
          <w:p>
            <w:pPr>
              <w:pStyle w:val="Compact"/>
              <w:jc w:val="left"/>
            </w:pPr>
            <w:r>
              <w:t xml:space="preserve">3 check-ins</w:t>
            </w:r>
          </w:p>
        </w:tc>
        <w:tc>
          <w:tcPr/>
          <w:p>
            <w:pPr>
              <w:pStyle w:val="Compact"/>
              <w:jc w:val="left"/>
            </w:pPr>
            <w:r>
              <w:t xml:space="preserve">$3,000,000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$52,000,000 COP</w:t>
            </w:r>
          </w:p>
        </w:tc>
      </w:tr>
      <w:tr>
        <w:tc>
          <w:tcPr/>
          <w:p>
            <w:pPr>
              <w:pStyle w:val="Compact"/>
              <w:jc w:val="left"/>
            </w:pPr>
            <w:r>
              <w:t xml:space="preserve">VAT (IVA 19%)</w:t>
            </w:r>
          </w:p>
        </w:tc>
        <w:tc>
          <w:tcPr/>
          <w:p>
            <w:pPr>
              <w:pStyle w:val="Compact"/>
              <w:jc w:val="right"/>
            </w:pPr>
            <w:r>
              <w:t xml:space="preserve">$9,880,000 COP</w:t>
            </w:r>
          </w:p>
        </w:tc>
      </w:tr>
      <w:tr>
        <w:tc>
          <w:tcPr/>
          <w:p>
            <w:pPr>
              <w:pStyle w:val="Compact"/>
              <w:jc w:val="left"/>
            </w:pPr>
            <w:r>
              <w:t xml:space="preserve">Discount (Academic Institution)</w:t>
            </w:r>
          </w:p>
        </w:tc>
        <w:tc>
          <w:tcPr/>
          <w:p>
            <w:pPr>
              <w:pStyle w:val="Compact"/>
              <w:jc w:val="right"/>
            </w:pPr>
            <w:r>
              <w:t xml:space="preserve">-$3,640,000 COP</w:t>
            </w:r>
          </w:p>
        </w:tc>
      </w:tr>
      <w:tr>
        <w:tc>
          <w:tcPr/>
          <w:p>
            <w:pPr>
              <w:pStyle w:val="Compact"/>
              <w:jc w:val="left"/>
            </w:pPr>
            <w:r>
              <w:t xml:space="preserve">Grand Total</w:t>
            </w:r>
          </w:p>
        </w:tc>
        <w:tc>
          <w:tcPr/>
          <w:p>
            <w:pPr>
              <w:pStyle w:val="Compact"/>
              <w:jc w:val="right"/>
            </w:pPr>
            <w:r>
              <w:t xml:space="preserve">$58,240,000 COP</w:t>
            </w:r>
          </w:p>
        </w:tc>
      </w:tr>
      <w:tr>
        <w:tc>
          <w:tcPr/>
          <w:p>
            <w:pPr>
              <w:pStyle w:val="Compact"/>
              <w:jc w:val="left"/>
            </w:pPr>
            <w:r>
              <w:t xml:space="preserve">Approx. USD equivalent</w:t>
            </w:r>
          </w:p>
        </w:tc>
        <w:tc>
          <w:tcPr/>
          <w:p>
            <w:pPr>
              <w:pStyle w:val="Compact"/>
              <w:jc w:val="right"/>
            </w:pPr>
            <w:r>
              <w:t xml:space="preserve">≈ $14,560 USD</w:t>
            </w:r>
          </w:p>
        </w:tc>
      </w:tr>
    </w:tbl>
    <w:bookmarkEnd w:id="23"/>
    <w:bookmarkStart w:id="24" w:name="terms-and-conditions"/>
    <w:p>
      <w:pPr>
        <w:pStyle w:val="Heading3"/>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will require re-issuance and may be subject to revised pricing.</w:t>
      </w:r>
    </w:p>
    <w:p>
      <w:pPr>
        <w:numPr>
          <w:ilvl w:val="0"/>
          <w:numId w:val="1001"/>
        </w:numPr>
        <w:pStyle w:val="Compact"/>
      </w:pPr>
      <w:r>
        <w:t xml:space="preserve">Payment terms: 40% upon signing of the service agreement, 40% upon successful placement and first-day attendance of the</w:t>
      </w:r>
      <w:r>
        <w:t xml:space="preserve"> </w:t>
      </w:r>
      <w:r>
        <w:t xml:space="preserve">University Lecturer</w:t>
      </w:r>
      <w:r>
        <w:t xml:space="preserve">, and 20% upon completion of the 90-day follow-up period.</w:t>
      </w:r>
    </w:p>
    <w:p>
      <w:pPr>
        <w:numPr>
          <w:ilvl w:val="0"/>
          <w:numId w:val="1001"/>
        </w:numPr>
        <w:pStyle w:val="Compact"/>
      </w:pPr>
      <w:r>
        <w:t xml:space="preserve">All services will be performed in</w:t>
      </w:r>
      <w:r>
        <w:t xml:space="preserve"> </w:t>
      </w:r>
      <w:r>
        <w:t xml:space="preserve">Colombia Bogotá</w:t>
      </w:r>
      <w:r>
        <w:t xml:space="preserve"> </w:t>
      </w:r>
      <w:r>
        <w:t xml:space="preserve">unless otherwise agreed in writing. Travel expenses for candidate interviews conducted in-person at the Bogotá campus are included in the quoted amounts.</w:t>
      </w:r>
    </w:p>
    <w:p>
      <w:pPr>
        <w:numPr>
          <w:ilvl w:val="0"/>
          <w:numId w:val="1001"/>
        </w:numPr>
        <w:pStyle w:val="Compact"/>
      </w:pPr>
      <w:r>
        <w:t xml:space="preserve">The</w:t>
      </w:r>
      <w:r>
        <w:t xml:space="preserve"> </w:t>
      </w:r>
      <w:r>
        <w:t xml:space="preserve">University Lecturer</w:t>
      </w:r>
      <w:r>
        <w:t xml:space="preserve"> </w:t>
      </w:r>
      <w:r>
        <w:t xml:space="preserve">candidate must meet all academic and professional requirements stipulated by the Universidad Nacional de Colombia. In the event that no suitable candidate is identified within ninety (90) days, this</w:t>
      </w:r>
      <w:r>
        <w:t xml:space="preserve"> </w:t>
      </w:r>
      <w:r>
        <w:t xml:space="preserve">Quotation Estimate</w:t>
      </w:r>
      <w:r>
        <w:t xml:space="preserve"> </w:t>
      </w:r>
      <w:r>
        <w:t xml:space="preserve">may be extended by mutual written agreement at no additional cost.</w:t>
      </w:r>
    </w:p>
    <w:p>
      <w:pPr>
        <w:numPr>
          <w:ilvl w:val="0"/>
          <w:numId w:val="1001"/>
        </w:numPr>
        <w:pStyle w:val="Compact"/>
      </w:pPr>
      <w:r>
        <w:t xml:space="preserve">Confidentiality: All candidate data and institutional information exchanged during this process are subject to a mutual Non-Disclosure Agreement (NDA) in accordance with Colombian data protection law (Ley 1581 de 2012).</w:t>
      </w:r>
    </w:p>
    <w:p>
      <w:pPr>
        <w:numPr>
          <w:ilvl w:val="0"/>
          <w:numId w:val="1001"/>
        </w:numPr>
        <w:pStyle w:val="Compact"/>
      </w:pPr>
      <w:r>
        <w:t xml:space="preserve">This</w:t>
      </w:r>
      <w:r>
        <w:t xml:space="preserve"> </w:t>
      </w:r>
      <w:r>
        <w:t xml:space="preserve">Quotation Estimate</w:t>
      </w:r>
      <w:r>
        <w:t xml:space="preserve"> </w:t>
      </w:r>
      <w:r>
        <w:t xml:space="preserve">does not constitute a guarantee of employment. The final hiring decision rests solely with the client institution. Our role as the staffing provider is limited to recruitment, assessment, and facilitation of the</w:t>
      </w:r>
      <w:r>
        <w:t xml:space="preserve"> </w:t>
      </w:r>
      <w:r>
        <w:t xml:space="preserve">University Lecturer</w:t>
      </w:r>
      <w:r>
        <w:t xml:space="preserve"> </w:t>
      </w:r>
      <w:r>
        <w:t xml:space="preserve">appointment process.</w:t>
      </w:r>
    </w:p>
    <w:p>
      <w:pPr>
        <w:numPr>
          <w:ilvl w:val="0"/>
          <w:numId w:val="1001"/>
        </w:numPr>
        <w:pStyle w:val="Compact"/>
      </w:pPr>
      <w:r>
        <w:t xml:space="preserve">Any disputes arising from this engagement shall be resolved through the competent labor and commercial courts of</w:t>
      </w:r>
      <w:r>
        <w:t xml:space="preserve"> </w:t>
      </w:r>
      <w:r>
        <w:t xml:space="preserve">Colombia Bogotá</w:t>
      </w:r>
      <w:r>
        <w:t xml:space="preserve">, D.C.</w:t>
      </w:r>
    </w:p>
    <w:bookmarkEnd w:id="24"/>
    <w:bookmarkStart w:id="25" w:name="acceptance-and-authorization"/>
    <w:p>
      <w:pPr>
        <w:pStyle w:val="Heading3"/>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recruitment and placement of a</w:t>
      </w:r>
      <w:r>
        <w:t xml:space="preserve"> </w:t>
      </w:r>
      <w:r>
        <w:t xml:space="preserve">University Lecturer</w:t>
      </w:r>
      <w:r>
        <w:t xml:space="preserve"> </w:t>
      </w:r>
      <w:r>
        <w:t xml:space="preserve">in</w:t>
      </w:r>
      <w:r>
        <w:t xml:space="preserve"> </w:t>
      </w:r>
      <w:r>
        <w:t xml:space="preserve">Colombia Bogotá</w:t>
      </w:r>
      <w:r>
        <w:t xml:space="preserve">.</w:t>
      </w:r>
    </w:p>
    <w:p>
      <w:pPr>
        <w:pStyle w:val="BodyText"/>
      </w:pPr>
      <w:r>
        <w:rPr>
          <w:bCs/>
          <w:b/>
        </w:rPr>
        <w:t xml:space="preserve">For Academic Talent Solutions S.A.S.</w:t>
      </w:r>
      <w:r>
        <w:br/>
      </w:r>
      <w:r>
        <w:t xml:space="preserve">Name: Carlos Andrés Mejía</w:t>
      </w:r>
      <w:r>
        <w:br/>
      </w:r>
      <w:r>
        <w:t xml:space="preserve">Title: Director de Operaciones</w:t>
      </w:r>
      <w:r>
        <w:br/>
      </w:r>
      <w:r>
        <w:t xml:space="preserve">Date: _______________</w:t>
      </w:r>
    </w:p>
    <w:p>
      <w:pPr>
        <w:pStyle w:val="BodyText"/>
      </w:pPr>
      <w:r>
        <w:rPr>
          <w:bCs/>
          <w:b/>
        </w:rPr>
        <w:t xml:space="preserve">For Universidad Nacional de Colombia</w:t>
      </w:r>
      <w:r>
        <w:br/>
      </w:r>
      <w:r>
        <w:t xml:space="preserve">Name: Dr. María Fernanda Restrepo</w:t>
      </w:r>
      <w:r>
        <w:br/>
      </w:r>
      <w:r>
        <w:t xml:space="preserve">Title: Decana, Facultad de Ingeniería</w:t>
      </w:r>
      <w:r>
        <w:br/>
      </w:r>
      <w:r>
        <w:t xml:space="preserve">Date: _______________</w:t>
      </w:r>
    </w:p>
    <w:p>
      <w:pPr>
        <w:pStyle w:val="BodyText"/>
      </w:pPr>
      <w:r>
        <w:t xml:space="preserve">Academic Talent Solutions S.A.S. | Quotation Estimate QTE-2025-0847 | University Lecturer Placement – Colombia Bogotá</w:t>
      </w:r>
    </w:p>
    <w:p>
      <w:pPr>
        <w:pStyle w:val="BodyText"/>
      </w:pPr>
      <w:r>
        <w:t xml:space="preserve">This document is electronically generated and valid without a physical stamp. For verification, contact quotes@academictalent.co.</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Colombia Bogotá</dc:title>
  <dc:creator/>
  <dc:language>en</dc:language>
  <cp:keywords/>
  <dcterms:created xsi:type="dcterms:W3CDTF">2026-10-10T04:14:08Z</dcterms:created>
  <dcterms:modified xsi:type="dcterms:W3CDTF">2026-10-10T04:14:08Z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