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Colombia</w:t>
      </w:r>
      <w:r>
        <w:t xml:space="preserve"> </w:t>
      </w:r>
      <w:r>
        <w:t xml:space="preserve">Medellín</w:t>
      </w:r>
    </w:p>
    <w:bookmarkStart w:id="21" w:name="quotation-estimate"/>
    <w:p>
      <w:pPr>
        <w:pStyle w:val="Heading1"/>
      </w:pPr>
      <w:r>
        <w:t xml:space="preserve">QUOTATION ESTIMATE</w:t>
      </w:r>
    </w:p>
    <w:bookmarkStart w:id="20" w:name="X208cf20be363ba856586cb9fca410ddae4cb588"/>
    <w:p>
      <w:pPr>
        <w:pStyle w:val="Heading2"/>
      </w:pPr>
      <w:r>
        <w:t xml:space="preserve">University Lecturer Professional Services</w:t>
      </w:r>
    </w:p>
    <w:p>
      <w:pPr>
        <w:pStyle w:val="FirstParagraph"/>
      </w:pPr>
      <w:r>
        <w:t xml:space="preserve">Universidad del Valle del Cauca – Sede Medellín</w:t>
      </w:r>
      <w:r>
        <w:br/>
      </w:r>
      <w:r>
        <w:t xml:space="preserve">Calle 43 # 48D-10, El Poblado, Medellín, Antioquia, Colombia</w:t>
      </w:r>
      <w:r>
        <w:br/>
      </w:r>
      <w:r>
        <w:t xml:space="preserve">NIT: 900.123.456-7 | Tel: +57 (604) 444 5566 | Email: contrataciones@unimed.edu.co</w:t>
      </w:r>
    </w:p>
    <w:bookmarkEnd w:id="20"/>
    <w:bookmarkEnd w:id="21"/>
    <w:p>
      <w:pPr>
        <w:pStyle w:val="BodyText"/>
      </w:pPr>
      <w:r>
        <w:rPr>
          <w:bCs/>
          <w:b/>
        </w:rPr>
        <w:t xml:space="preserve">Quotation Estimate No.:</w:t>
      </w:r>
      <w:r>
        <w:t xml:space="preserve"> </w:t>
      </w:r>
      <w:r>
        <w:t xml:space="preserve">QE-2025-MLD-0047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Dr. Carolina Restrepo Mena</w:t>
      </w:r>
      <w:r>
        <w:br/>
      </w:r>
      <w:r>
        <w:t xml:space="preserve">Director of Academic Affairs</w:t>
      </w:r>
      <w:r>
        <w:br/>
      </w:r>
      <w:r>
        <w:t xml:space="preserve">Universidad del Valle del Cauca – Medellín Campus</w:t>
      </w:r>
    </w:p>
    <w:p>
      <w:pPr>
        <w:pStyle w:val="BodyText"/>
      </w:pPr>
      <w:r>
        <w:rPr>
          <w:bCs/>
          <w:b/>
        </w:rPr>
        <w:t xml:space="preserve">Prepared By:</w:t>
      </w:r>
      <w:r>
        <w:br/>
      </w:r>
      <w:r>
        <w:t xml:space="preserve">Ing. Andrés Felipe Gutiérrez</w:t>
      </w:r>
      <w:r>
        <w:br/>
      </w:r>
      <w:r>
        <w:t xml:space="preserve">Procurement &amp; Contracts Office</w:t>
      </w:r>
      <w:r>
        <w:br/>
      </w:r>
      <w:r>
        <w:t xml:space="preserve">Colombia Medellín</w:t>
      </w:r>
    </w:p>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financial projection for the recruitment, onboarding, and annual professional engagement of a</w:t>
      </w:r>
      <w:r>
        <w:t xml:space="preserve"> </w:t>
      </w:r>
      <w:r>
        <w:t xml:space="preserve">University Lecturer</w:t>
      </w:r>
      <w:r>
        <w:t xml:space="preserve"> </w:t>
      </w:r>
      <w:r>
        <w:t xml:space="preserve">at the Medellín campus of our institution, located in the heart of</w:t>
      </w:r>
      <w:r>
        <w:t xml:space="preserve"> </w:t>
      </w:r>
      <w:r>
        <w:t xml:space="preserve">Colombia Medellín</w:t>
      </w:r>
      <w:r>
        <w:t xml:space="preserve">. The scope of this document encompasses all costs associated with the academic position, including compensation, benefits, institutional contributions, and ancillary professional development expenses. This Quotation Estimate has been prepared in accordance with the Colombian Labor Code (Código Sustantivo del Trabajo, Decreto 2351 de 1966) and the specific regulatory framework governing higher education institutions in the Antioquia department.</w:t>
      </w:r>
    </w:p>
    <w:p>
      <w:pPr>
        <w:pStyle w:val="BodyText"/>
      </w:pPr>
      <w:r>
        <w:t xml:space="preserve">The University Lecturer position described herein is a full-time, permanent academic appointment within the Faculty of Engineering and Natural Sciences. The successful candidate will be responsible for delivering undergraduate and graduate-level coursework, supervising thesis research, conducting applied research projects, and participating in the academic governance of the institution. The role is specifically tailored to the academic and cultural context of Colombia Medellín, reflecting the regional demand for specialized engineering and technology education.</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Amount (COP)</w:t>
            </w:r>
          </w:p>
        </w:tc>
      </w:tr>
      <w:tr>
        <w:tc>
          <w:tcPr/>
          <w:p>
            <w:pPr>
              <w:pStyle w:val="Compact"/>
              <w:jc w:val="left"/>
            </w:pPr>
            <w:r>
              <w:t xml:space="preserve">01</w:t>
            </w:r>
          </w:p>
        </w:tc>
        <w:tc>
          <w:tcPr/>
          <w:p>
            <w:pPr>
              <w:pStyle w:val="Compact"/>
              <w:jc w:val="left"/>
            </w:pPr>
            <w:r>
              <w:t xml:space="preserve">Base Monthly Salary – University Lecturer (Full-Time, 40 hrs/week)</w:t>
            </w:r>
          </w:p>
        </w:tc>
        <w:tc>
          <w:tcPr/>
          <w:p>
            <w:pPr>
              <w:pStyle w:val="Compact"/>
              <w:jc w:val="left"/>
            </w:pPr>
            <w:r>
              <w:t xml:space="preserve">Monthly</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Academic Performance Bonus (Research Publications &amp; Teaching Evaluation)</w:t>
            </w:r>
          </w:p>
        </w:tc>
        <w:tc>
          <w:tcPr/>
          <w:p>
            <w:pPr>
              <w:pStyle w:val="Compact"/>
              <w:jc w:val="left"/>
            </w:pPr>
            <w:r>
              <w:t xml:space="preserve">Semester</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Colpensiones / Private Pension Contribution (Institutional Share – 12.86%)</w:t>
            </w:r>
          </w:p>
        </w:tc>
        <w:tc>
          <w:tcPr/>
          <w:p>
            <w:pPr>
              <w:pStyle w:val="Compact"/>
              <w:jc w:val="left"/>
            </w:pPr>
            <w:r>
              <w:t xml:space="preserve">Monthly</w:t>
            </w:r>
          </w:p>
        </w:tc>
        <w:tc>
          <w:tcPr/>
          <w:p>
            <w:pPr>
              <w:pStyle w:val="Compact"/>
              <w:jc w:val="left"/>
            </w:pPr>
            <w:r>
              <w:t xml:space="preserve">1,093,100</w:t>
            </w:r>
          </w:p>
        </w:tc>
      </w:tr>
      <w:tr>
        <w:tc>
          <w:tcPr/>
          <w:p>
            <w:pPr>
              <w:pStyle w:val="Compact"/>
              <w:jc w:val="left"/>
            </w:pPr>
            <w:r>
              <w:t xml:space="preserve">04</w:t>
            </w:r>
          </w:p>
        </w:tc>
        <w:tc>
          <w:tcPr/>
          <w:p>
            <w:pPr>
              <w:pStyle w:val="Compact"/>
              <w:jc w:val="left"/>
            </w:pPr>
            <w:r>
              <w:t xml:space="preserve">Health Insurance (EPS) – Institutional Contribution</w:t>
            </w:r>
          </w:p>
        </w:tc>
        <w:tc>
          <w:tcPr/>
          <w:p>
            <w:pPr>
              <w:pStyle w:val="Compact"/>
              <w:jc w:val="left"/>
            </w:pPr>
            <w:r>
              <w:t xml:space="preserve">Monthly</w:t>
            </w:r>
          </w:p>
        </w:tc>
        <w:tc>
          <w:tcPr/>
          <w:p>
            <w:pPr>
              <w:pStyle w:val="Compact"/>
              <w:jc w:val="left"/>
            </w:pPr>
            <w:r>
              <w:t xml:space="preserve">1,275,000</w:t>
            </w:r>
          </w:p>
        </w:tc>
      </w:tr>
      <w:tr>
        <w:tc>
          <w:tcPr/>
          <w:p>
            <w:pPr>
              <w:pStyle w:val="Compact"/>
              <w:jc w:val="left"/>
            </w:pPr>
            <w:r>
              <w:t xml:space="preserve">05</w:t>
            </w:r>
          </w:p>
        </w:tc>
        <w:tc>
          <w:tcPr/>
          <w:p>
            <w:pPr>
              <w:pStyle w:val="Compact"/>
              <w:jc w:val="left"/>
            </w:pPr>
            <w:r>
              <w:t xml:space="preserve">Artesanías y Cajas de Compensación Familiar (Colsubsidio Medellín)</w:t>
            </w:r>
          </w:p>
        </w:tc>
        <w:tc>
          <w:tcPr/>
          <w:p>
            <w:pPr>
              <w:pStyle w:val="Compact"/>
              <w:jc w:val="left"/>
            </w:pPr>
            <w:r>
              <w:t xml:space="preserve">Monthly</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Annual Salary (Salario Anual) – 13th Month Payment</w:t>
            </w:r>
          </w:p>
        </w:tc>
        <w:tc>
          <w:tcPr/>
          <w:p>
            <w:pPr>
              <w:pStyle w:val="Compact"/>
              <w:jc w:val="left"/>
            </w:pPr>
            <w:r>
              <w:t xml:space="preserve">Annual</w:t>
            </w:r>
          </w:p>
        </w:tc>
        <w:tc>
          <w:tcPr/>
          <w:p>
            <w:pPr>
              <w:pStyle w:val="Compact"/>
              <w:jc w:val="left"/>
            </w:pPr>
            <w:r>
              <w:t xml:space="preserve">8,500,000</w:t>
            </w:r>
          </w:p>
        </w:tc>
      </w:tr>
      <w:tr>
        <w:tc>
          <w:tcPr/>
          <w:p>
            <w:pPr>
              <w:pStyle w:val="Compact"/>
              <w:jc w:val="left"/>
            </w:pPr>
            <w:r>
              <w:t xml:space="preserve">07</w:t>
            </w:r>
          </w:p>
        </w:tc>
        <w:tc>
          <w:tcPr/>
          <w:p>
            <w:pPr>
              <w:pStyle w:val="Compact"/>
              <w:jc w:val="left"/>
            </w:pPr>
            <w:r>
              <w:t xml:space="preserve">Professional Development &amp; Conference Travel (National/International)</w:t>
            </w:r>
          </w:p>
        </w:tc>
        <w:tc>
          <w:tcPr/>
          <w:p>
            <w:pPr>
              <w:pStyle w:val="Compact"/>
              <w:jc w:val="left"/>
            </w:pPr>
            <w:r>
              <w:t xml:space="preserve">Annual</w:t>
            </w:r>
          </w:p>
        </w:tc>
        <w:tc>
          <w:tcPr/>
          <w:p>
            <w:pPr>
              <w:pStyle w:val="Compact"/>
              <w:jc w:val="left"/>
            </w:pPr>
            <w:r>
              <w:t xml:space="preserve">4,800,000</w:t>
            </w:r>
          </w:p>
        </w:tc>
      </w:tr>
      <w:tr>
        <w:tc>
          <w:tcPr/>
          <w:p>
            <w:pPr>
              <w:pStyle w:val="Compact"/>
              <w:jc w:val="left"/>
            </w:pPr>
            <w:r>
              <w:t xml:space="preserve">08</w:t>
            </w:r>
          </w:p>
        </w:tc>
        <w:tc>
          <w:tcPr/>
          <w:p>
            <w:pPr>
              <w:pStyle w:val="Compact"/>
              <w:jc w:val="left"/>
            </w:pPr>
            <w:r>
              <w:t xml:space="preserve">Research Grant Allocation (Faculty of Engineering – Medellín Lab)</w:t>
            </w:r>
          </w:p>
        </w:tc>
        <w:tc>
          <w:tcPr/>
          <w:p>
            <w:pPr>
              <w:pStyle w:val="Compact"/>
              <w:jc w:val="left"/>
            </w:pPr>
            <w:r>
              <w:t xml:space="preserve">Annual</w:t>
            </w:r>
          </w:p>
        </w:tc>
        <w:tc>
          <w:tcPr/>
          <w:p>
            <w:pPr>
              <w:pStyle w:val="Compact"/>
              <w:jc w:val="left"/>
            </w:pPr>
            <w:r>
              <w:t xml:space="preserve">6,000,000</w:t>
            </w:r>
          </w:p>
        </w:tc>
      </w:tr>
      <w:tr>
        <w:tc>
          <w:tcPr/>
          <w:p>
            <w:pPr>
              <w:pStyle w:val="Compact"/>
              <w:jc w:val="left"/>
            </w:pPr>
            <w:r>
              <w:t xml:space="preserve">09</w:t>
            </w:r>
          </w:p>
        </w:tc>
        <w:tc>
          <w:tcPr/>
          <w:p>
            <w:pPr>
              <w:pStyle w:val="Compact"/>
              <w:jc w:val="left"/>
            </w:pPr>
            <w:r>
              <w:t xml:space="preserve">Onboarding &amp; Administrative Setup (Background Check, NIT Registration, Campus Orientation)</w:t>
            </w:r>
          </w:p>
        </w:tc>
        <w:tc>
          <w:tcPr/>
          <w:p>
            <w:pPr>
              <w:pStyle w:val="Compact"/>
              <w:jc w:val="left"/>
            </w:pPr>
            <w:r>
              <w:t xml:space="preserve">One-time</w:t>
            </w:r>
          </w:p>
        </w:tc>
        <w:tc>
          <w:tcPr/>
          <w:p>
            <w:pPr>
              <w:pStyle w:val="Compact"/>
              <w:jc w:val="left"/>
            </w:pPr>
            <w:r>
              <w:t xml:space="preserve">350,000</w:t>
            </w:r>
          </w:p>
        </w:tc>
      </w:tr>
      <w:tr>
        <w:tc>
          <w:tcPr/>
          <w:p>
            <w:pPr>
              <w:pStyle w:val="Compact"/>
              <w:jc w:val="left"/>
            </w:pPr>
            <w:r>
              <w:t xml:space="preserve">10</w:t>
            </w:r>
          </w:p>
        </w:tc>
        <w:tc>
          <w:tcPr/>
          <w:p>
            <w:pPr>
              <w:pStyle w:val="Compact"/>
              <w:jc w:val="left"/>
            </w:pPr>
            <w:r>
              <w:t xml:space="preserve">Legal &amp; Contractual Fees (Labor Contract Drafting, Ministry of Education Compliance)</w:t>
            </w:r>
          </w:p>
        </w:tc>
        <w:tc>
          <w:tcPr/>
          <w:p>
            <w:pPr>
              <w:pStyle w:val="Compact"/>
              <w:jc w:val="left"/>
            </w:pPr>
            <w:r>
              <w:t xml:space="preserve">One-time</w:t>
            </w:r>
          </w:p>
        </w:tc>
        <w:tc>
          <w:tcPr/>
          <w:p>
            <w:pPr>
              <w:pStyle w:val="Compact"/>
              <w:jc w:val="left"/>
            </w:pPr>
            <w:r>
              <w:t xml:space="preserve">520,000</w:t>
            </w:r>
          </w:p>
        </w:tc>
      </w:tr>
    </w:tbl>
    <w:bookmarkEnd w:id="23"/>
    <w:bookmarkStart w:id="24" w:name="annual-cost-summary"/>
    <w:p>
      <w:pPr>
        <w:pStyle w:val="Heading3"/>
      </w:pPr>
      <w:r>
        <w:t xml:space="preserve">3. Annual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Annual Amount (COP)</w:t>
            </w:r>
          </w:p>
        </w:tc>
      </w:tr>
      <w:tr>
        <w:tc>
          <w:tcPr/>
          <w:p>
            <w:pPr>
              <w:pStyle w:val="Compact"/>
              <w:jc w:val="left"/>
            </w:pPr>
            <w:r>
              <w:t xml:space="preserve">Base Compensation (Items 01, 02, 06)</w:t>
            </w:r>
          </w:p>
        </w:tc>
        <w:tc>
          <w:tcPr/>
          <w:p>
            <w:pPr>
              <w:pStyle w:val="Compact"/>
              <w:jc w:val="left"/>
            </w:pPr>
            <w:r>
              <w:t xml:space="preserve">129,000,000</w:t>
            </w:r>
          </w:p>
        </w:tc>
      </w:tr>
      <w:tr>
        <w:tc>
          <w:tcPr/>
          <w:p>
            <w:pPr>
              <w:pStyle w:val="Compact"/>
              <w:jc w:val="left"/>
            </w:pPr>
            <w:r>
              <w:t xml:space="preserve">Statutory Social Contributions (Items 03, 04, 05)</w:t>
            </w:r>
          </w:p>
        </w:tc>
        <w:tc>
          <w:tcPr/>
          <w:p>
            <w:pPr>
              <w:pStyle w:val="Compact"/>
              <w:jc w:val="left"/>
            </w:pPr>
            <w:r>
              <w:t xml:space="preserve">32,480,200</w:t>
            </w:r>
          </w:p>
        </w:tc>
      </w:tr>
      <w:tr>
        <w:tc>
          <w:tcPr/>
          <w:p>
            <w:pPr>
              <w:pStyle w:val="Compact"/>
              <w:jc w:val="left"/>
            </w:pPr>
            <w:r>
              <w:t xml:space="preserve">Professional Development &amp; Research (Items 07, 08)</w:t>
            </w:r>
          </w:p>
        </w:tc>
        <w:tc>
          <w:tcPr/>
          <w:p>
            <w:pPr>
              <w:pStyle w:val="Compact"/>
              <w:jc w:val="left"/>
            </w:pPr>
            <w:r>
              <w:t xml:space="preserve">10,800,000</w:t>
            </w:r>
          </w:p>
        </w:tc>
      </w:tr>
      <w:tr>
        <w:tc>
          <w:tcPr/>
          <w:p>
            <w:pPr>
              <w:pStyle w:val="Compact"/>
              <w:jc w:val="left"/>
            </w:pPr>
            <w:r>
              <w:t xml:space="preserve">One-Time Administrative Costs (Items 09, 10)</w:t>
            </w:r>
          </w:p>
        </w:tc>
        <w:tc>
          <w:tcPr/>
          <w:p>
            <w:pPr>
              <w:pStyle w:val="Compact"/>
              <w:jc w:val="left"/>
            </w:pPr>
            <w:r>
              <w:t xml:space="preserve">870,000</w:t>
            </w:r>
          </w:p>
        </w:tc>
      </w:tr>
      <w:tr>
        <w:tc>
          <w:tcPr/>
          <w:p>
            <w:pPr>
              <w:pStyle w:val="Compact"/>
              <w:jc w:val="left"/>
            </w:pPr>
            <w:r>
              <w:t xml:space="preserve">TOTAL ESTIMATED ANNUAL COST</w:t>
            </w:r>
          </w:p>
        </w:tc>
        <w:tc>
          <w:tcPr/>
          <w:p>
            <w:pPr>
              <w:pStyle w:val="Compact"/>
              <w:jc w:val="left"/>
            </w:pPr>
            <w:r>
              <w:t xml:space="preserve">173,150,200</w:t>
            </w:r>
          </w:p>
        </w:tc>
      </w:tr>
    </w:tbl>
    <w:p>
      <w:pPr>
        <w:pStyle w:val="BodyText"/>
      </w:pPr>
      <w:r>
        <w:t xml:space="preserve">* All amounts are expressed in Colombian Pesos (COP) and are subject to annual adjustment based on the minimum wage decree issued by the Colombian Ministry of Labor. The University Lecturer salary floor in Colombia Medellín for 2025 shall not fall below the statutory minimum for public-sector academic personnel.</w:t>
      </w:r>
    </w:p>
    <w:bookmarkEnd w:id="24"/>
    <w:bookmarkStart w:id="25" w:name="X985eb999f0cfcda5f1af1a675bf0b7c2e0a6c64"/>
    <w:p>
      <w:pPr>
        <w:pStyle w:val="Heading3"/>
      </w:pPr>
      <w:r>
        <w:t xml:space="preserve">4. Terms and Conditions of This Quotation Estimate</w:t>
      </w:r>
    </w:p>
    <w:p>
      <w:pPr>
        <w:pStyle w:val="FirstParagraph"/>
      </w:pPr>
      <w:r>
        <w:rPr>
          <w:bCs/>
          <w:b/>
        </w:rPr>
        <w:t xml:space="preserve">4.1 Validity:</w:t>
      </w:r>
      <w:r>
        <w:t xml:space="preserve"> </w:t>
      </w:r>
      <w:r>
        <w:t xml:space="preserve">This Quotation Estimate remains valid for a period of thirty (30) calendar days from the date of issue. Beyond this period, all figures must be re-evaluated due to potential changes in the Colombian minimum wage, social security contribution rates, or institutional budget allocations for the Medellín campus.</w:t>
      </w:r>
      <w:r>
        <w:br/>
      </w:r>
      <w:r>
        <w:br/>
      </w:r>
      <w:r>
        <w:rPr>
          <w:bCs/>
          <w:b/>
        </w:rPr>
        <w:t xml:space="preserve">4.2 Payment Schedule:</w:t>
      </w:r>
      <w:r>
        <w:t xml:space="preserve"> </w:t>
      </w:r>
      <w:r>
        <w:t xml:space="preserve">Compensation for the University Lecturer shall be disbursed on the last business day of each calendar month via direct bank transfer to the account designated by the employee. Social security contributions shall be remitted to the respective entities (Colpensiones, EPS, Colsubsidio Medellín) within the first five (5) business days of the following month, in compliance with Colombian tax and labor regulations.</w:t>
      </w:r>
      <w:r>
        <w:br/>
      </w:r>
      <w:r>
        <w:br/>
      </w:r>
      <w:r>
        <w:rPr>
          <w:bCs/>
          <w:b/>
        </w:rPr>
        <w:t xml:space="preserve">4.3 Contract Duration:</w:t>
      </w:r>
      <w:r>
        <w:t xml:space="preserve"> </w:t>
      </w:r>
      <w:r>
        <w:t xml:space="preserve">The initial engagement period for the University Lecturer position is twelve (12) months, renewable upon mutual agreement and satisfactory performance evaluation. The contract shall be governed by the Colombian Labor Code and the specific bylaws of the institution in Colombia Medellín.</w:t>
      </w:r>
      <w:r>
        <w:br/>
      </w:r>
      <w:r>
        <w:br/>
      </w:r>
      <w:r>
        <w:rPr>
          <w:bCs/>
          <w:b/>
        </w:rPr>
        <w:t xml:space="preserve">4.4 Tax Obligations:</w:t>
      </w:r>
      <w:r>
        <w:t xml:space="preserve"> </w:t>
      </w:r>
      <w:r>
        <w:t xml:space="preserve">The University Lecturer is responsible for the declaration and payment of personal income tax (Impuesto de Renta) as mandated by the Colombian National Tax Authority (DIAN). The institution shall withhold the applicable progressive tax rate from each monthly disbursement.</w:t>
      </w:r>
      <w:r>
        <w:br/>
      </w:r>
      <w:r>
        <w:br/>
      </w:r>
      <w:r>
        <w:rPr>
          <w:bCs/>
          <w:b/>
        </w:rPr>
        <w:t xml:space="preserve">4.5 Cancellation:</w:t>
      </w:r>
      <w:r>
        <w:t xml:space="preserve"> </w:t>
      </w:r>
      <w:r>
        <w:t xml:space="preserve">Either party may terminate the engagement with a thirty (30) day written notice. In the event of early termination by the institution without just cause, severance pay (cesantías) and proportional bonuses shall be calculated and paid in accordance with Colombian labor law.</w:t>
      </w:r>
      <w:r>
        <w:br/>
      </w:r>
      <w:r>
        <w:br/>
      </w:r>
      <w:r>
        <w:rPr>
          <w:bCs/>
          <w:b/>
        </w:rPr>
        <w:t xml:space="preserve">4.6 Governing Law:</w:t>
      </w:r>
      <w:r>
        <w:t xml:space="preserve"> </w:t>
      </w:r>
      <w:r>
        <w:t xml:space="preserve">This Quotation Estimate and the resulting employment contract shall be governed by the laws of the Republic of Colombia. Any disputes arising from the University Lecturer engagement shall be resolved before the labor courts of the Judicial District of Medellín, Antioquia.</w:t>
      </w:r>
    </w:p>
    <w:bookmarkEnd w:id="25"/>
    <w:bookmarkStart w:id="26" w:name="acceptance-and-authorization"/>
    <w:p>
      <w:pPr>
        <w:pStyle w:val="Heading3"/>
      </w:pPr>
      <w:r>
        <w:t xml:space="preserve">5. Acceptance and Authorization</w:t>
      </w:r>
    </w:p>
    <w:p>
      <w:pPr>
        <w:pStyle w:val="FirstParagraph"/>
      </w:pPr>
      <w:r>
        <w:t xml:space="preserve">By signing below, the authorized representative of the institution acknowledges receipt of this Quotation Estimate and authorizes the procurement office to proceed with the recruitment and contracting of the University Lecturer position as described herein. This document does not constitute a binding employment contract until the formal labor agreement is executed and registered with the relevant Colombian labor authorities.</w:t>
      </w:r>
    </w:p>
    <w:p>
      <w:pPr>
        <w:pStyle w:val="BodyText"/>
      </w:pPr>
      <w:r>
        <w:rPr>
          <w:bCs/>
          <w:b/>
        </w:rPr>
        <w:t xml:space="preserve">Prepared By:</w:t>
      </w:r>
      <w:r>
        <w:br/>
      </w:r>
      <w:r>
        <w:t xml:space="preserve">Ing. Andrés Felipe Gutiérrez</w:t>
      </w:r>
      <w:r>
        <w:br/>
      </w:r>
      <w:r>
        <w:t xml:space="preserve">Procurement &amp; Contracts Office</w:t>
      </w:r>
      <w:r>
        <w:br/>
      </w:r>
      <w:r>
        <w:t xml:space="preserve">Date: _______________</w:t>
      </w:r>
    </w:p>
    <w:p>
      <w:pPr>
        <w:pStyle w:val="BodyText"/>
      </w:pPr>
      <w:r>
        <w:rPr>
          <w:bCs/>
          <w:b/>
        </w:rPr>
        <w:t xml:space="preserve">Approved By:</w:t>
      </w:r>
      <w:r>
        <w:br/>
      </w:r>
      <w:r>
        <w:t xml:space="preserve">Dr. Carolina Restrepo Mena</w:t>
      </w:r>
      <w:r>
        <w:br/>
      </w:r>
      <w:r>
        <w:t xml:space="preserve">Director of Academic Affairs</w:t>
      </w:r>
      <w:r>
        <w:br/>
      </w:r>
      <w:r>
        <w:t xml:space="preserve">Universidad del Valle del Cauca – Medellín</w:t>
      </w:r>
      <w:r>
        <w:br/>
      </w:r>
      <w:r>
        <w:t xml:space="preserve">Date: _______________</w:t>
      </w:r>
    </w:p>
    <w:p>
      <w:pPr>
        <w:pStyle w:val="BodyText"/>
      </w:pPr>
      <w:r>
        <w:t xml:space="preserve">This Quotation Estimate (QE-2025-MLD-0047) was prepared for the University Lecturer position at the Colombia Medellín campus.</w:t>
      </w:r>
      <w:r>
        <w:br/>
      </w:r>
      <w:r>
        <w:t xml:space="preserve">Document generated on June 12, 2025 | Page 1 of 1 | Confidential – For Internal Institutional Use Only</w:t>
      </w:r>
      <w:r>
        <w:br/>
      </w:r>
      <w:r>
        <w:t xml:space="preserve">Universidad del Valle del Cauca – Sede Medellín | Calle 43 # 48D-10, El Poblado, Medellín, Antioquia, Colombia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Colombia Medellín</dc:title>
  <dc:creator/>
  <dc:language>en</dc:language>
  <cp:keywords/>
  <dcterms:created xsi:type="dcterms:W3CDTF">2026-10-10T03:17:25Z</dcterms:created>
  <dcterms:modified xsi:type="dcterms:W3CDTF">2026-10-10T03:17:25Z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