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University</w:t>
      </w:r>
      <w:r>
        <w:t xml:space="preserve"> </w:t>
      </w:r>
      <w:r>
        <w:t xml:space="preserve">Lecturer</w:t>
      </w:r>
      <w:r>
        <w:t xml:space="preserve"> </w:t>
      </w:r>
      <w:r>
        <w:t xml:space="preserve">-</w:t>
      </w:r>
      <w:r>
        <w:t xml:space="preserve"> </w:t>
      </w:r>
      <w:r>
        <w:t xml:space="preserve">Egypt</w:t>
      </w:r>
      <w:r>
        <w:t xml:space="preserve"> </w:t>
      </w:r>
      <w:r>
        <w:t xml:space="preserve">Alexandria</w:t>
      </w:r>
    </w:p>
    <w:bookmarkStart w:id="20" w:name="quotation-estimate"/>
    <w:p>
      <w:pPr>
        <w:pStyle w:val="Heading1"/>
      </w:pPr>
      <w:r>
        <w:t xml:space="preserve">QUOTATION ESTIMATE</w:t>
      </w:r>
    </w:p>
    <w:p>
      <w:pPr>
        <w:pStyle w:val="FirstParagraph"/>
      </w:pPr>
      <w:r>
        <w:t xml:space="preserve">Professional Engagement of a University Lecturer — Egypt, Alexandria</w:t>
      </w:r>
    </w:p>
    <w:p>
      <w:pPr>
        <w:pStyle w:val="BodyText"/>
      </w:pPr>
      <w:r>
        <w:t xml:space="preserve">Document Ref: QE-ALX-2025-0472 | Issued by: Alexandria Academic Recruitment &amp; Consultancy Services (AARCS)</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QE-ALX-2025-0472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60 days from date of issue (expires 14 August 2025)</w:t>
            </w:r>
          </w:p>
        </w:tc>
      </w:tr>
      <w:tr>
        <w:tc>
          <w:tcPr/>
          <w:p>
            <w:pPr>
              <w:pStyle w:val="Compact"/>
              <w:jc w:val="left"/>
            </w:pPr>
            <w:r>
              <w:t xml:space="preserve">Prepared For</w:t>
            </w:r>
          </w:p>
        </w:tc>
        <w:tc>
          <w:tcPr/>
          <w:p>
            <w:pPr>
              <w:pStyle w:val="Compact"/>
              <w:jc w:val="left"/>
            </w:pPr>
            <w:r>
              <w:t xml:space="preserve">Faculty of Engineering, Alexandria University, El-Montazah, Alexandria, Egypt</w:t>
            </w:r>
          </w:p>
        </w:tc>
      </w:tr>
      <w:tr>
        <w:tc>
          <w:tcPr/>
          <w:p>
            <w:pPr>
              <w:pStyle w:val="Compact"/>
              <w:jc w:val="left"/>
            </w:pPr>
            <w:r>
              <w:t xml:space="preserve">Prepared By</w:t>
            </w:r>
          </w:p>
        </w:tc>
        <w:tc>
          <w:tcPr/>
          <w:p>
            <w:pPr>
              <w:pStyle w:val="Compact"/>
              <w:jc w:val="left"/>
            </w:pPr>
            <w:r>
              <w:t xml:space="preserve">Alexandria Academic Recruitment &amp; Consultancy Services (AARCS), 42 Corniche El-Nil Street, Alexandria, Egypt</w:t>
            </w:r>
          </w:p>
        </w:tc>
      </w:tr>
      <w:tr>
        <w:tc>
          <w:tcPr/>
          <w:p>
            <w:pPr>
              <w:pStyle w:val="Compact"/>
              <w:jc w:val="left"/>
            </w:pPr>
            <w:r>
              <w:t xml:space="preserve">Position Quoted</w:t>
            </w:r>
          </w:p>
        </w:tc>
        <w:tc>
          <w:tcPr/>
          <w:p>
            <w:pPr>
              <w:pStyle w:val="Compact"/>
              <w:jc w:val="left"/>
            </w:pPr>
            <w:r>
              <w:t xml:space="preserve">University Lecturer (Assistant Professor Level) — Department of Civil Engineering</w:t>
            </w:r>
          </w:p>
        </w:tc>
      </w:tr>
      <w:tr>
        <w:tc>
          <w:tcPr/>
          <w:p>
            <w:pPr>
              <w:pStyle w:val="Compact"/>
              <w:jc w:val="left"/>
            </w:pPr>
            <w:r>
              <w:t xml:space="preserve">Academic Year</w:t>
            </w:r>
          </w:p>
        </w:tc>
        <w:tc>
          <w:tcPr/>
          <w:p>
            <w:pPr>
              <w:pStyle w:val="Compact"/>
              <w:jc w:val="left"/>
            </w:pPr>
            <w:r>
              <w:t xml:space="preserve">2025/2026 (October 2025 – June 2026)</w:t>
            </w:r>
          </w:p>
        </w:tc>
      </w:tr>
    </w:tbl>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formally issued by Alexandria Academic Recruitment &amp; Consultancy Services (AARCS) to the Faculty of Engineering at Alexandria University, located in the historic city of Alexandria, Egypt. The purpose of this document is to provide a comprehensive, itemised financial estimate for the recruitment, onboarding, and academic engagement of a qualified</w:t>
      </w:r>
      <w:r>
        <w:t xml:space="preserve"> </w:t>
      </w:r>
      <w:r>
        <w:t xml:space="preserve">University Lecturer</w:t>
      </w:r>
      <w:r>
        <w:t xml:space="preserve"> </w:t>
      </w:r>
      <w:r>
        <w:t xml:space="preserve">for the 2025/2026 academic year. All costs, deliverables, and service conditions outlined herein are specific to the academic and regulatory environment of</w:t>
      </w:r>
      <w:r>
        <w:t xml:space="preserve"> </w:t>
      </w:r>
      <w:r>
        <w:t xml:space="preserve">Egypt, Alexandria</w:t>
      </w:r>
      <w:r>
        <w:t xml:space="preserve">, and are structured in accordance with the Egyptian Ministry of Higher Education guidelines and the local labour regulations governing academic personnel in the Alexandria Governorate.</w:t>
      </w:r>
    </w:p>
    <w:p>
      <w:pPr>
        <w:pStyle w:val="BodyText"/>
      </w:pPr>
      <w:r>
        <w:t xml:space="preserve">The</w:t>
      </w:r>
      <w:r>
        <w:t xml:space="preserve"> </w:t>
      </w:r>
      <w:r>
        <w:t xml:space="preserve">University Lecturer</w:t>
      </w:r>
      <w:r>
        <w:t xml:space="preserve"> </w:t>
      </w:r>
      <w:r>
        <w:t xml:space="preserve">position quoted under this estimate encompasses full-time academic duties including teaching undergraduate and postgraduate courses, supervising research projects, contributing to departmental governance, and participating in the broader academic community of Alexandria, one of Egypt's most prominent centres of higher learning. The candidate will be expected to hold a minimum of a PhD in Civil Engineering or a closely related discipline, with a proven track record of peer-reviewed publications and at least five years of post-doctoral teaching experience.</w:t>
      </w:r>
    </w:p>
    <w:bookmarkEnd w:id="21"/>
    <w:bookmarkStart w:id="22" w:name="detailed-cost-breakdown"/>
    <w:p>
      <w:pPr>
        <w:pStyle w:val="Heading2"/>
      </w:pPr>
      <w:r>
        <w:t xml:space="preserve">2. Detailed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 / Cost Component</w:t>
            </w:r>
          </w:p>
        </w:tc>
        <w:tc>
          <w:tcPr/>
          <w:p>
            <w:pPr>
              <w:pStyle w:val="Compact"/>
              <w:jc w:val="left"/>
            </w:pPr>
            <w:r>
              <w:t xml:space="preserve">Quantity</w:t>
            </w:r>
          </w:p>
        </w:tc>
        <w:tc>
          <w:tcPr/>
          <w:p>
            <w:pPr>
              <w:pStyle w:val="Compact"/>
              <w:jc w:val="left"/>
            </w:pPr>
            <w:r>
              <w:t xml:space="preserve">Unit Cost (EGP)</w:t>
            </w:r>
          </w:p>
        </w:tc>
        <w:tc>
          <w:tcPr/>
          <w:p>
            <w:pPr>
              <w:pStyle w:val="Compact"/>
              <w:jc w:val="left"/>
            </w:pPr>
            <w:r>
              <w:t xml:space="preserve">Total (EGP)</w:t>
            </w:r>
          </w:p>
        </w:tc>
      </w:tr>
      <w:tr>
        <w:tc>
          <w:tcPr/>
          <w:p>
            <w:pPr>
              <w:pStyle w:val="Compact"/>
              <w:jc w:val="left"/>
            </w:pPr>
            <w:r>
              <w:t xml:space="preserve">2.1</w:t>
            </w:r>
          </w:p>
        </w:tc>
        <w:tc>
          <w:tcPr/>
          <w:p>
            <w:pPr>
              <w:pStyle w:val="Compact"/>
              <w:jc w:val="left"/>
            </w:pPr>
            <w:r>
              <w:t xml:space="preserve">Recruitment and screening of the University Lecturer candidate (including CV review, academic reference verification, interview panel coordination in Alexandria)</w:t>
            </w:r>
          </w:p>
        </w:tc>
        <w:tc>
          <w:tcPr/>
          <w:p>
            <w:pPr>
              <w:pStyle w:val="Compact"/>
              <w:jc w:val="left"/>
            </w:pPr>
            <w:r>
              <w:t xml:space="preserve">1</w:t>
            </w:r>
          </w:p>
        </w:tc>
        <w:tc>
          <w:tcPr/>
          <w:p>
            <w:pPr>
              <w:pStyle w:val="Compact"/>
              <w:jc w:val="left"/>
            </w:pPr>
            <w:r>
              <w:t xml:space="preserve">18,500</w:t>
            </w:r>
          </w:p>
        </w:tc>
        <w:tc>
          <w:tcPr/>
          <w:p>
            <w:pPr>
              <w:pStyle w:val="Compact"/>
              <w:jc w:val="left"/>
            </w:pPr>
            <w:r>
              <w:t xml:space="preserve">18,500</w:t>
            </w:r>
          </w:p>
        </w:tc>
      </w:tr>
      <w:tr>
        <w:tc>
          <w:tcPr/>
          <w:p>
            <w:pPr>
              <w:pStyle w:val="Compact"/>
              <w:jc w:val="left"/>
            </w:pPr>
            <w:r>
              <w:t xml:space="preserve">2.2</w:t>
            </w:r>
          </w:p>
        </w:tc>
        <w:tc>
          <w:tcPr/>
          <w:p>
            <w:pPr>
              <w:pStyle w:val="Compact"/>
              <w:jc w:val="left"/>
            </w:pPr>
            <w:r>
              <w:t xml:space="preserve">Academic credential verification and Ministry of Higher Education (Egypt) registration processing for the University Lecturer</w:t>
            </w:r>
          </w:p>
        </w:tc>
        <w:tc>
          <w:tcPr/>
          <w:p>
            <w:pPr>
              <w:pStyle w:val="Compact"/>
              <w:jc w:val="left"/>
            </w:pPr>
            <w:r>
              <w:t xml:space="preserve">1</w:t>
            </w:r>
          </w:p>
        </w:tc>
        <w:tc>
          <w:tcPr/>
          <w:p>
            <w:pPr>
              <w:pStyle w:val="Compact"/>
              <w:jc w:val="left"/>
            </w:pPr>
            <w:r>
              <w:t xml:space="preserve">7,200</w:t>
            </w:r>
          </w:p>
        </w:tc>
        <w:tc>
          <w:tcPr/>
          <w:p>
            <w:pPr>
              <w:pStyle w:val="Compact"/>
              <w:jc w:val="left"/>
            </w:pPr>
            <w:r>
              <w:t xml:space="preserve">7,200</w:t>
            </w:r>
          </w:p>
        </w:tc>
      </w:tr>
      <w:tr>
        <w:tc>
          <w:tcPr/>
          <w:p>
            <w:pPr>
              <w:pStyle w:val="Compact"/>
              <w:jc w:val="left"/>
            </w:pPr>
            <w:r>
              <w:t xml:space="preserve">2.3</w:t>
            </w:r>
          </w:p>
        </w:tc>
        <w:tc>
          <w:tcPr/>
          <w:p>
            <w:pPr>
              <w:pStyle w:val="Compact"/>
              <w:jc w:val="left"/>
            </w:pPr>
            <w:r>
              <w:t xml:space="preserve">Monthly academic salary for the University Lecturer (Assistant Professor grade, per Alexandria University pay scale)</w:t>
            </w:r>
          </w:p>
        </w:tc>
        <w:tc>
          <w:tcPr/>
          <w:p>
            <w:pPr>
              <w:pStyle w:val="Compact"/>
              <w:jc w:val="left"/>
            </w:pPr>
            <w:r>
              <w:t xml:space="preserve">9 months</w:t>
            </w:r>
          </w:p>
        </w:tc>
        <w:tc>
          <w:tcPr/>
          <w:p>
            <w:pPr>
              <w:pStyle w:val="Compact"/>
              <w:jc w:val="left"/>
            </w:pPr>
            <w:r>
              <w:t xml:space="preserve">42,000</w:t>
            </w:r>
          </w:p>
        </w:tc>
        <w:tc>
          <w:tcPr/>
          <w:p>
            <w:pPr>
              <w:pStyle w:val="Compact"/>
              <w:jc w:val="left"/>
            </w:pPr>
            <w:r>
              <w:t xml:space="preserve">378,000</w:t>
            </w:r>
          </w:p>
        </w:tc>
      </w:tr>
      <w:tr>
        <w:tc>
          <w:tcPr/>
          <w:p>
            <w:pPr>
              <w:pStyle w:val="Compact"/>
              <w:jc w:val="left"/>
            </w:pPr>
            <w:r>
              <w:t xml:space="preserve">2.4</w:t>
            </w:r>
          </w:p>
        </w:tc>
        <w:tc>
          <w:tcPr/>
          <w:p>
            <w:pPr>
              <w:pStyle w:val="Compact"/>
              <w:jc w:val="left"/>
            </w:pPr>
            <w:r>
              <w:t xml:space="preserve">Research and publication allowance (annual stipend for the University Lecturer to support peer-reviewed output)</w:t>
            </w:r>
          </w:p>
        </w:tc>
        <w:tc>
          <w:tcPr/>
          <w:p>
            <w:pPr>
              <w:pStyle w:val="Compact"/>
              <w:jc w:val="left"/>
            </w:pPr>
            <w:r>
              <w:t xml:space="preserve">1</w:t>
            </w:r>
          </w:p>
        </w:tc>
        <w:tc>
          <w:tcPr/>
          <w:p>
            <w:pPr>
              <w:pStyle w:val="Compact"/>
              <w:jc w:val="left"/>
            </w:pPr>
            <w:r>
              <w:t xml:space="preserve">25,000</w:t>
            </w:r>
          </w:p>
        </w:tc>
        <w:tc>
          <w:tcPr/>
          <w:p>
            <w:pPr>
              <w:pStyle w:val="Compact"/>
              <w:jc w:val="left"/>
            </w:pPr>
            <w:r>
              <w:t xml:space="preserve">25,000</w:t>
            </w:r>
          </w:p>
        </w:tc>
      </w:tr>
      <w:tr>
        <w:tc>
          <w:tcPr/>
          <w:p>
            <w:pPr>
              <w:pStyle w:val="Compact"/>
              <w:jc w:val="left"/>
            </w:pPr>
            <w:r>
              <w:t xml:space="preserve">2.5</w:t>
            </w:r>
          </w:p>
        </w:tc>
        <w:tc>
          <w:tcPr/>
          <w:p>
            <w:pPr>
              <w:pStyle w:val="Compact"/>
              <w:jc w:val="left"/>
            </w:pPr>
            <w:r>
              <w:t xml:space="preserve">Relocation and settling-in allowance for the University Lecturer (applicable if candidate is based outside Alexandria, Egypt)</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2.6</w:t>
            </w:r>
          </w:p>
        </w:tc>
        <w:tc>
          <w:tcPr/>
          <w:p>
            <w:pPr>
              <w:pStyle w:val="Compact"/>
              <w:jc w:val="left"/>
            </w:pPr>
            <w:r>
              <w:t xml:space="preserve">Onboarding, orientation, and institutional integration programme (Alexandria University campus, El-Montazah)</w:t>
            </w:r>
          </w:p>
        </w:tc>
        <w:tc>
          <w:tcPr/>
          <w:p>
            <w:pPr>
              <w:pStyle w:val="Compact"/>
              <w:jc w:val="left"/>
            </w:pPr>
            <w:r>
              <w:t xml:space="preserve">1</w:t>
            </w:r>
          </w:p>
        </w:tc>
        <w:tc>
          <w:tcPr/>
          <w:p>
            <w:pPr>
              <w:pStyle w:val="Compact"/>
              <w:jc w:val="left"/>
            </w:pPr>
            <w:r>
              <w:t xml:space="preserve">6,500</w:t>
            </w:r>
          </w:p>
        </w:tc>
        <w:tc>
          <w:tcPr/>
          <w:p>
            <w:pPr>
              <w:pStyle w:val="Compact"/>
              <w:jc w:val="left"/>
            </w:pPr>
            <w:r>
              <w:t xml:space="preserve">6,500</w:t>
            </w:r>
          </w:p>
        </w:tc>
      </w:tr>
      <w:tr>
        <w:tc>
          <w:tcPr/>
          <w:p>
            <w:pPr>
              <w:pStyle w:val="Compact"/>
              <w:jc w:val="left"/>
            </w:pPr>
            <w:r>
              <w:t xml:space="preserve">2.7</w:t>
            </w:r>
          </w:p>
        </w:tc>
        <w:tc>
          <w:tcPr/>
          <w:p>
            <w:pPr>
              <w:pStyle w:val="Compact"/>
              <w:jc w:val="left"/>
            </w:pPr>
            <w:r>
              <w:t xml:space="preserve">Teaching materials, laboratory access fees, and academic resource allocation for the University Lecturer</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2.8</w:t>
            </w:r>
          </w:p>
        </w:tc>
        <w:tc>
          <w:tcPr/>
          <w:p>
            <w:pPr>
              <w:pStyle w:val="Compact"/>
              <w:jc w:val="left"/>
            </w:pPr>
            <w:r>
              <w:t xml:space="preserve">Professional development and conference participation (minimum two academic conferences in Egypt or the MENA region)</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2.9</w:t>
            </w:r>
          </w:p>
        </w:tc>
        <w:tc>
          <w:tcPr/>
          <w:p>
            <w:pPr>
              <w:pStyle w:val="Compact"/>
              <w:jc w:val="left"/>
            </w:pPr>
            <w:r>
              <w:t xml:space="preserve">Administrative and consultancy service fee (AARCS management fee, 5% of subtotal)</w:t>
            </w:r>
          </w:p>
        </w:tc>
        <w:tc>
          <w:tcPr/>
          <w:p>
            <w:pPr>
              <w:pStyle w:val="Compact"/>
              <w:jc w:val="left"/>
            </w:pPr>
            <w:r>
              <w:t xml:space="preserve">1</w:t>
            </w:r>
          </w:p>
        </w:tc>
        <w:tc>
          <w:tcPr/>
          <w:p>
            <w:pPr>
              <w:pStyle w:val="Compact"/>
              <w:jc w:val="left"/>
            </w:pPr>
            <w:r>
              <w:t xml:space="preserve">—</w:t>
            </w:r>
          </w:p>
        </w:tc>
        <w:tc>
          <w:tcPr/>
          <w:p>
            <w:pPr>
              <w:pStyle w:val="Compact"/>
              <w:jc w:val="left"/>
            </w:pPr>
            <w:r>
              <w:t xml:space="preserve">22,920</w:t>
            </w:r>
          </w:p>
        </w:tc>
      </w:tr>
      <w:tr>
        <w:tc>
          <w:tcPr>
            <w:gridSpan w:val="4"/>
          </w:tcPr>
          <w:p>
            <w:pPr>
              <w:pStyle w:val="Compact"/>
              <w:jc w:val="left"/>
            </w:pPr>
            <w:r>
              <w:t xml:space="preserve">TOTAL ESTIMATED COST (EGP)</w:t>
            </w:r>
          </w:p>
        </w:tc>
        <w:tc>
          <w:tcPr/>
          <w:p>
            <w:pPr>
              <w:pStyle w:val="Compact"/>
              <w:jc w:val="left"/>
            </w:pPr>
            <w:r>
              <w:t xml:space="preserve">520,120</w:t>
            </w:r>
          </w:p>
        </w:tc>
      </w:tr>
      <w:tr>
        <w:tc>
          <w:tcPr>
            <w:gridSpan w:val="4"/>
          </w:tcPr>
          <w:p>
            <w:pPr>
              <w:pStyle w:val="Compact"/>
              <w:jc w:val="left"/>
            </w:pPr>
            <w:r>
              <w:t xml:space="preserve">TOTAL ESTIMATED COST (USD, approx. at EGP 49.50/USD)</w:t>
            </w:r>
          </w:p>
        </w:tc>
        <w:tc>
          <w:tcPr/>
          <w:p>
            <w:pPr>
              <w:pStyle w:val="Compact"/>
              <w:jc w:val="left"/>
            </w:pPr>
            <w:r>
              <w:t xml:space="preserve">10,507.47</w:t>
            </w:r>
          </w:p>
        </w:tc>
      </w:tr>
    </w:tbl>
    <w:bookmarkEnd w:id="22"/>
    <w:bookmarkStart w:id="23" w:name="terms-and-conditions"/>
    <w:p>
      <w:pPr>
        <w:pStyle w:val="Heading2"/>
      </w:pPr>
      <w:r>
        <w:t xml:space="preserve">3. Terms and Conditions</w:t>
      </w:r>
    </w:p>
    <w:p>
      <w:pPr>
        <w:numPr>
          <w:ilvl w:val="0"/>
          <w:numId w:val="1001"/>
        </w:numPr>
        <w:pStyle w:val="Compact"/>
      </w:pPr>
      <w:r>
        <w:t xml:space="preserve">This</w:t>
      </w:r>
      <w:r>
        <w:t xml:space="preserve"> </w:t>
      </w:r>
      <w:r>
        <w:t xml:space="preserve">Quotation Estimate</w:t>
      </w:r>
      <w:r>
        <w:t xml:space="preserve"> </w:t>
      </w:r>
      <w:r>
        <w:t xml:space="preserve">is valid for a period of sixty (60) calendar days from the date of issue. Any engagement of the</w:t>
      </w:r>
      <w:r>
        <w:t xml:space="preserve"> </w:t>
      </w:r>
      <w:r>
        <w:t xml:space="preserve">University Lecturer</w:t>
      </w:r>
      <w:r>
        <w:t xml:space="preserve"> </w:t>
      </w:r>
      <w:r>
        <w:t xml:space="preserve">beyond this validity window will require a revised estimate reflecting current market rates in</w:t>
      </w:r>
      <w:r>
        <w:t xml:space="preserve"> </w:t>
      </w:r>
      <w:r>
        <w:t xml:space="preserve">Egypt, Alexandria</w:t>
      </w:r>
      <w:r>
        <w:t xml:space="preserve">.</w:t>
      </w:r>
    </w:p>
    <w:p>
      <w:pPr>
        <w:numPr>
          <w:ilvl w:val="0"/>
          <w:numId w:val="1001"/>
        </w:numPr>
        <w:pStyle w:val="Compact"/>
      </w:pPr>
      <w:r>
        <w:t xml:space="preserve">All monetary values are quoted in Egyptian Pounds (EGP) unless otherwise stated. Exchange rate conversions are indicative only and subject to the Central Bank of Egypt rate on the date of payment.</w:t>
      </w:r>
    </w:p>
    <w:p>
      <w:pPr>
        <w:numPr>
          <w:ilvl w:val="0"/>
          <w:numId w:val="1001"/>
        </w:numPr>
        <w:pStyle w:val="Compact"/>
      </w:pPr>
      <w:r>
        <w:t xml:space="preserve">The</w:t>
      </w:r>
      <w:r>
        <w:t xml:space="preserve"> </w:t>
      </w:r>
      <w:r>
        <w:t xml:space="preserve">University Lecturer</w:t>
      </w:r>
      <w:r>
        <w:t xml:space="preserve"> </w:t>
      </w:r>
      <w:r>
        <w:t xml:space="preserve">shall be engaged under a fixed-term academic contract for the 2025/2026 academic year, commencing on 1 October 2025 and concluding on 30 June 2026, in compliance with Egyptian academic employment law.</w:t>
      </w:r>
    </w:p>
    <w:p>
      <w:pPr>
        <w:numPr>
          <w:ilvl w:val="0"/>
          <w:numId w:val="1001"/>
        </w:numPr>
        <w:pStyle w:val="Compact"/>
      </w:pPr>
      <w:r>
        <w:t xml:space="preserve">Payment shall be structured as follows: 20% upon contract signing, 60% disbursed monthly alongside the University Lecturer's salary, and 20% upon successful completion of the academic year and submission of the final performance report.</w:t>
      </w:r>
    </w:p>
    <w:p>
      <w:pPr>
        <w:numPr>
          <w:ilvl w:val="0"/>
          <w:numId w:val="1001"/>
        </w:numPr>
        <w:pStyle w:val="Compact"/>
      </w:pPr>
      <w:r>
        <w:t xml:space="preserve">AARCS shall coordinate all recruitment activities within the Alexandria Governorate and shall ensure full compliance with the Egyptian Ministry of Higher Education and Scientific Research regulations governing the appointment of academic staff.</w:t>
      </w:r>
    </w:p>
    <w:p>
      <w:pPr>
        <w:numPr>
          <w:ilvl w:val="0"/>
          <w:numId w:val="1001"/>
        </w:numPr>
        <w:pStyle w:val="Compact"/>
      </w:pPr>
      <w:r>
        <w:t xml:space="preserve">The</w:t>
      </w:r>
      <w:r>
        <w:t xml:space="preserve"> </w:t>
      </w:r>
      <w:r>
        <w:t xml:space="preserve">University Lecturer</w:t>
      </w:r>
      <w:r>
        <w:t xml:space="preserve"> </w:t>
      </w:r>
      <w:r>
        <w:t xml:space="preserve">is expected to deliver a minimum of 18 contact hours per week across undergraduate and postgraduate modules, in addition to supervisory and research duties as defined by the Department of Civil Engineering, Alexandria University.</w:t>
      </w:r>
    </w:p>
    <w:p>
      <w:pPr>
        <w:numPr>
          <w:ilvl w:val="0"/>
          <w:numId w:val="1001"/>
        </w:numPr>
        <w:pStyle w:val="Compact"/>
      </w:pPr>
      <w:r>
        <w:t xml:space="preserve">Any changes to the scope of work, additional teaching loads, or extended engagement of the</w:t>
      </w:r>
      <w:r>
        <w:t xml:space="preserve"> </w:t>
      </w:r>
      <w:r>
        <w:t xml:space="preserve">University Lecturer</w:t>
      </w:r>
      <w:r>
        <w:t xml:space="preserve"> </w:t>
      </w:r>
      <w:r>
        <w:t xml:space="preserve">beyond the quoted academic year will be subject to a supplementary</w:t>
      </w:r>
      <w:r>
        <w:t xml:space="preserve"> </w:t>
      </w:r>
      <w:r>
        <w:t xml:space="preserve">Quotation Estimate</w:t>
      </w:r>
      <w:r>
        <w:t xml:space="preserve"> </w:t>
      </w:r>
      <w:r>
        <w:t xml:space="preserve">issued by AARCS.</w:t>
      </w:r>
    </w:p>
    <w:p>
      <w:pPr>
        <w:numPr>
          <w:ilvl w:val="0"/>
          <w:numId w:val="1001"/>
        </w:numPr>
        <w:pStyle w:val="Compact"/>
      </w:pPr>
      <w:r>
        <w:t xml:space="preserve">This estimate does not include personal income tax, social security contributions, or any statutory deductions applicable to academic employees in Egypt, Alexandria, which shall be handled in accordance with local tax law.</w:t>
      </w:r>
    </w:p>
    <w:p>
      <w:pPr>
        <w:numPr>
          <w:ilvl w:val="0"/>
          <w:numId w:val="1001"/>
        </w:numPr>
        <w:pStyle w:val="Compact"/>
      </w:pPr>
      <w:r>
        <w:t xml:space="preserve">Confidentiality: All information contained in this</w:t>
      </w:r>
      <w:r>
        <w:t xml:space="preserve"> </w:t>
      </w:r>
      <w:r>
        <w:t xml:space="preserve">Quotation Estimate</w:t>
      </w:r>
      <w:r>
        <w:t xml:space="preserve"> </w:t>
      </w:r>
      <w:r>
        <w:t xml:space="preserve">is confidential and intended solely for the use of the recipient institution in Alexandria, Egypt.</w:t>
      </w:r>
    </w:p>
    <w:bookmarkEnd w:id="23"/>
    <w:bookmarkStart w:id="24" w:name="acceptance-and-authorisation"/>
    <w:p>
      <w:pPr>
        <w:pStyle w:val="Heading2"/>
      </w:pPr>
      <w:r>
        <w:t xml:space="preserve">4. Acceptance and Authorisation</w:t>
      </w:r>
    </w:p>
    <w:p>
      <w:pPr>
        <w:pStyle w:val="FirstParagraph"/>
      </w:pPr>
      <w:r>
        <w:t xml:space="preserve">By signing below, the authorised representative of the receiving institution confirms acceptance of this</w:t>
      </w:r>
      <w:r>
        <w:t xml:space="preserve"> </w:t>
      </w:r>
      <w:r>
        <w:t xml:space="preserve">Quotation Estimate</w:t>
      </w:r>
      <w:r>
        <w:t xml:space="preserve"> </w:t>
      </w:r>
      <w:r>
        <w:t xml:space="preserve">for the engagement of the</w:t>
      </w:r>
      <w:r>
        <w:t xml:space="preserve"> </w:t>
      </w:r>
      <w:r>
        <w:t xml:space="preserve">University Lecturer</w:t>
      </w:r>
      <w:r>
        <w:t xml:space="preserve"> </w:t>
      </w:r>
      <w:r>
        <w:t xml:space="preserve">as described herein, and authorises AARCS to proceed with the recruitment and onboarding process in</w:t>
      </w:r>
      <w:r>
        <w:t xml:space="preserve"> </w:t>
      </w:r>
      <w:r>
        <w:t xml:space="preserve">Egypt, Alexandria</w:t>
      </w:r>
      <w:r>
        <w:t xml:space="preserve">.</w:t>
      </w:r>
    </w:p>
    <w:p>
      <w:pPr>
        <w:pStyle w:val="BodyText"/>
      </w:pPr>
      <w:r>
        <w:t xml:space="preserve">For and on behalf of AARCS</w:t>
      </w:r>
      <w:r>
        <w:br/>
      </w:r>
      <w:r>
        <w:t xml:space="preserve">Alexandria Academic Recruitment &amp; Consultancy Services</w:t>
      </w:r>
      <w:r>
        <w:br/>
      </w:r>
      <w:r>
        <w:t xml:space="preserve">Name / Title / Signature / Date</w:t>
      </w:r>
    </w:p>
    <w:p>
      <w:pPr>
        <w:pStyle w:val="BodyText"/>
      </w:pPr>
      <w:r>
        <w:t xml:space="preserve">For and on behalf of the Recipient Institution</w:t>
      </w:r>
      <w:r>
        <w:br/>
      </w:r>
      <w:r>
        <w:t xml:space="preserve">Alexandria University, Faculty of Engineering</w:t>
      </w:r>
      <w:r>
        <w:br/>
      </w:r>
      <w:r>
        <w:t xml:space="preserve">Name / Title / Signature / Date</w:t>
      </w:r>
    </w:p>
    <w:p>
      <w:pPr>
        <w:pStyle w:val="BodyText"/>
      </w:pPr>
      <w:r>
        <w:t xml:space="preserve">Alexandria Academic Recruitment &amp; Consultancy Services (AARCS) | 42 Corniche El-Nil Street, Alexandria, Egypt | Tel: +20 3 482 5500 | Email: estimates@aarcs-alexandria.eg</w:t>
      </w:r>
    </w:p>
    <w:p>
      <w:pPr>
        <w:pStyle w:val="BodyText"/>
      </w:pPr>
      <w:r>
        <w:t xml:space="preserve">This Quotation Estimate document QE-ALX-2025-0472 is the property of AARCS and may not be reproduced or distributed without prior written consent. All references to the University Lecturer position and the Egypt, Alexandria academic context are specific to this engagement and do not constitute a general offer.</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University Lecturer - Egypt Alexandria</dc:title>
  <dc:creator/>
  <dc:language>en</dc:language>
  <cp:keywords/>
  <dcterms:created xsi:type="dcterms:W3CDTF">2026-10-10T02:06:17Z</dcterms:created>
  <dcterms:modified xsi:type="dcterms:W3CDTF">2026-10-10T02:06:17Z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