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Engagement of a University Lecturer — Egypt Cairo</w:t>
      </w:r>
    </w:p>
    <w:p>
      <w:pPr>
        <w:pStyle w:val="BodyText"/>
      </w:pPr>
      <w:r>
        <w:t xml:space="preserve">Ref: QE-EGY-CAI-2025-0472 | Issued: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Amira Hassan, Head of Academic Procurement — Faculty of Engineering, Cairo University</w:t>
            </w:r>
          </w:p>
        </w:tc>
      </w:tr>
      <w:tr>
        <w:tc>
          <w:tcPr/>
          <w:p>
            <w:pPr>
              <w:pStyle w:val="Compact"/>
              <w:jc w:val="left"/>
            </w:pPr>
            <w:r>
              <w:t xml:space="preserve">Prepared For:</w:t>
            </w:r>
          </w:p>
        </w:tc>
        <w:tc>
          <w:tcPr/>
          <w:p>
            <w:pPr>
              <w:pStyle w:val="Compact"/>
              <w:jc w:val="left"/>
            </w:pPr>
            <w:r>
              <w:t xml:space="preserve">Dr. Mahmoud El-Sayed, Dean of the Faculty of Engineering, Cairo University, Giza Road, Dokki, Egypt Cairo</w:t>
            </w:r>
          </w:p>
        </w:tc>
      </w:tr>
      <w:tr>
        <w:tc>
          <w:tcPr/>
          <w:p>
            <w:pPr>
              <w:pStyle w:val="Compact"/>
              <w:jc w:val="left"/>
            </w:pPr>
            <w:r>
              <w:t xml:space="preserve">Subject:</w:t>
            </w:r>
          </w:p>
        </w:tc>
        <w:tc>
          <w:tcPr/>
          <w:p>
            <w:pPr>
              <w:pStyle w:val="Compact"/>
              <w:jc w:val="left"/>
            </w:pPr>
            <w:r>
              <w:t xml:space="preserve">Quotation Estimate for the Recruitment and Annual Engagement of a University Lecturer in the Department of Civil Engineering, Egypt Cairo Campus</w:t>
            </w:r>
          </w:p>
        </w:tc>
      </w:tr>
      <w:tr>
        <w:tc>
          <w:tcPr/>
          <w:p>
            <w:pPr>
              <w:pStyle w:val="Compact"/>
              <w:jc w:val="left"/>
            </w:pPr>
            <w:r>
              <w:t xml:space="preserve">Currency:</w:t>
            </w:r>
          </w:p>
        </w:tc>
        <w:tc>
          <w:tcPr/>
          <w:p>
            <w:pPr>
              <w:pStyle w:val="Compact"/>
              <w:jc w:val="left"/>
            </w:pPr>
            <w:r>
              <w:t xml:space="preserve">Egyptian Pound (EGP) / US Dollar (USD) equivalent</w:t>
            </w:r>
          </w:p>
        </w:tc>
      </w:tr>
      <w:tr>
        <w:tc>
          <w:tcPr/>
          <w:p>
            <w:pPr>
              <w:pStyle w:val="Compact"/>
              <w:jc w:val="left"/>
            </w:pPr>
            <w:r>
              <w:t xml:space="preserve">Validity Period:</w:t>
            </w:r>
          </w:p>
        </w:tc>
        <w:tc>
          <w:tcPr/>
          <w:p>
            <w:pPr>
              <w:pStyle w:val="Compact"/>
              <w:jc w:val="left"/>
            </w:pPr>
            <w:r>
              <w:t xml:space="preserve">60 calendar days from the date of issue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present the comprehensive financial breakdown for the recruitment, onboarding, and annual professional engagement of a</w:t>
      </w:r>
      <w:r>
        <w:t xml:space="preserve"> </w:t>
      </w:r>
      <w:r>
        <w:t xml:space="preserve">University Lecturer</w:t>
      </w:r>
      <w:r>
        <w:t xml:space="preserve"> </w:t>
      </w:r>
      <w:r>
        <w:t xml:space="preserve">within the Department of Civil Engineering at Cairo University, located in the heart of</w:t>
      </w:r>
      <w:r>
        <w:t xml:space="preserve"> </w:t>
      </w:r>
      <w:r>
        <w:t xml:space="preserve">Egypt Cairo</w:t>
      </w:r>
      <w:r>
        <w:t xml:space="preserve">. The scope of this document encompasses all anticipated costs associated with hiring a qualified academic professional who will deliver undergraduate and postgraduate instruction, supervise research theses, and contribute to the university's international accreditation objectives. All figures presented herein have been calculated in accordance with the Egyptian Ministry of Higher Education's 2025 salary regulations and the local cost-of-living indices applicable to the Egypt Cairo metropolitan area.</w:t>
      </w:r>
    </w:p>
    <w:bookmarkEnd w:id="21"/>
    <w:bookmarkStart w:id="22" w:name="Xa9f2a6a82869dc458b214a78652702e0f7715b1"/>
    <w:p>
      <w:pPr>
        <w:pStyle w:val="Heading2"/>
      </w:pPr>
      <w:r>
        <w:t xml:space="preserve">2. Candidate Profile and Qualification Requirements</w:t>
      </w:r>
    </w:p>
    <w:p>
      <w:pPr>
        <w:pStyle w:val="FirstParagraph"/>
      </w:pPr>
      <w:r>
        <w:t xml:space="preserve">The</w:t>
      </w:r>
      <w:r>
        <w:t xml:space="preserve"> </w:t>
      </w:r>
      <w:r>
        <w:t xml:space="preserve">University Lecturer</w:t>
      </w:r>
      <w:r>
        <w:t xml:space="preserve"> </w:t>
      </w:r>
      <w:r>
        <w:t xml:space="preserve">position described in this Quotation Estimate requires a candidate holding a minimum of a Ph.D. in Civil Engineering or a closely related structural discipline, with no fewer than five (5) years of post-doctoral teaching or research experience. The candidate must demonstrate a proven publication record in peer-reviewed international journals, active participation in at least one national or international research grant, and fluency in both Arabic and English to serve the diverse student body of the Egypt Cairo campus. The lecturer will be expected to teach a minimum of 18 credit hours per semester across both the Fall and Spring academic terms.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Cost Item</w:t>
            </w:r>
          </w:p>
        </w:tc>
        <w:tc>
          <w:tcPr/>
          <w:p>
            <w:pPr>
              <w:pStyle w:val="Compact"/>
              <w:jc w:val="left"/>
            </w:pPr>
            <w:r>
              <w:t xml:space="preserve">Description</w:t>
            </w:r>
          </w:p>
        </w:tc>
        <w:tc>
          <w:tcPr/>
          <w:p>
            <w:pPr>
              <w:pStyle w:val="Compact"/>
              <w:jc w:val="left"/>
            </w:pPr>
            <w:r>
              <w:t xml:space="preserve">Amount (EGP)</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Annual Base Salary</w:t>
            </w:r>
          </w:p>
        </w:tc>
        <w:tc>
          <w:tcPr/>
          <w:p>
            <w:pPr>
              <w:pStyle w:val="Compact"/>
              <w:jc w:val="left"/>
            </w:pPr>
            <w:r>
              <w:t xml:space="preserve">Monthly salary of EGP 45,000 × 12 months, per Egyptian Ministry of Higher Education scale for a University Lecturer in Egypt Cairo</w:t>
            </w:r>
          </w:p>
        </w:tc>
        <w:tc>
          <w:tcPr/>
          <w:p>
            <w:pPr>
              <w:pStyle w:val="Compact"/>
              <w:jc w:val="left"/>
            </w:pPr>
            <w:r>
              <w:t xml:space="preserve">540,000</w:t>
            </w:r>
          </w:p>
        </w:tc>
        <w:tc>
          <w:tcPr/>
          <w:p>
            <w:pPr>
              <w:pStyle w:val="Compact"/>
              <w:jc w:val="left"/>
            </w:pPr>
            <w:r>
              <w:t xml:space="preserve">11,250</w:t>
            </w:r>
          </w:p>
        </w:tc>
      </w:tr>
      <w:tr>
        <w:tc>
          <w:tcPr/>
          <w:p>
            <w:pPr>
              <w:pStyle w:val="Compact"/>
              <w:jc w:val="left"/>
            </w:pPr>
            <w:r>
              <w:t xml:space="preserve">2</w:t>
            </w:r>
          </w:p>
        </w:tc>
        <w:tc>
          <w:tcPr/>
          <w:p>
            <w:pPr>
              <w:pStyle w:val="Compact"/>
              <w:jc w:val="left"/>
            </w:pPr>
            <w:r>
              <w:t xml:space="preserve">Academic Allowance</w:t>
            </w:r>
          </w:p>
        </w:tc>
        <w:tc>
          <w:tcPr/>
          <w:p>
            <w:pPr>
              <w:pStyle w:val="Compact"/>
              <w:jc w:val="left"/>
            </w:pPr>
            <w:r>
              <w:t xml:space="preserve">Ph.D. qualification supplement, 15% of base salary, applicable to all University Lecturer positions in Egypt Cairo</w:t>
            </w:r>
          </w:p>
        </w:tc>
        <w:tc>
          <w:tcPr/>
          <w:p>
            <w:pPr>
              <w:pStyle w:val="Compact"/>
              <w:jc w:val="left"/>
            </w:pPr>
            <w:r>
              <w:t xml:space="preserve">81,000</w:t>
            </w:r>
          </w:p>
        </w:tc>
        <w:tc>
          <w:tcPr/>
          <w:p>
            <w:pPr>
              <w:pStyle w:val="Compact"/>
              <w:jc w:val="left"/>
            </w:pPr>
            <w:r>
              <w:t xml:space="preserve">1,688</w:t>
            </w:r>
          </w:p>
        </w:tc>
      </w:tr>
      <w:tr>
        <w:tc>
          <w:tcPr/>
          <w:p>
            <w:pPr>
              <w:pStyle w:val="Compact"/>
              <w:jc w:val="left"/>
            </w:pPr>
            <w:r>
              <w:t xml:space="preserve">3</w:t>
            </w:r>
          </w:p>
        </w:tc>
        <w:tc>
          <w:tcPr/>
          <w:p>
            <w:pPr>
              <w:pStyle w:val="Compact"/>
              <w:jc w:val="left"/>
            </w:pPr>
            <w:r>
              <w:t xml:space="preserve">Research &amp; Publication Grant</w:t>
            </w:r>
          </w:p>
        </w:tc>
        <w:tc>
          <w:tcPr/>
          <w:p>
            <w:pPr>
              <w:pStyle w:val="Compact"/>
              <w:jc w:val="left"/>
            </w:pPr>
            <w:r>
              <w:t xml:space="preserve">Annual stipend for journal publication fees, conference travel within Egypt Cairo and abroad, and laboratory consumables</w:t>
            </w:r>
          </w:p>
        </w:tc>
        <w:tc>
          <w:tcPr/>
          <w:p>
            <w:pPr>
              <w:pStyle w:val="Compact"/>
              <w:jc w:val="left"/>
            </w:pPr>
            <w:r>
              <w:t xml:space="preserve">120,000</w:t>
            </w:r>
          </w:p>
        </w:tc>
        <w:tc>
          <w:tcPr/>
          <w:p>
            <w:pPr>
              <w:pStyle w:val="Compact"/>
              <w:jc w:val="left"/>
            </w:pPr>
            <w:r>
              <w:t xml:space="preserve">2,500</w:t>
            </w:r>
          </w:p>
        </w:tc>
      </w:tr>
      <w:tr>
        <w:tc>
          <w:tcPr/>
          <w:p>
            <w:pPr>
              <w:pStyle w:val="Compact"/>
              <w:jc w:val="left"/>
            </w:pPr>
            <w:r>
              <w:t xml:space="preserve">4</w:t>
            </w:r>
          </w:p>
        </w:tc>
        <w:tc>
          <w:tcPr/>
          <w:p>
            <w:pPr>
              <w:pStyle w:val="Compact"/>
              <w:jc w:val="left"/>
            </w:pPr>
            <w:r>
              <w:t xml:space="preserve">Housing Subsidy</w:t>
            </w:r>
          </w:p>
        </w:tc>
        <w:tc>
          <w:tcPr/>
          <w:p>
            <w:pPr>
              <w:pStyle w:val="Compact"/>
              <w:jc w:val="left"/>
            </w:pPr>
            <w:r>
              <w:t xml:space="preserve">Monthly accommodation allowance of EGP 12,000 for a University Lecturer residing in the Egypt Cairo metropolitan area (Dokki, Maadi, or Giza districts)</w:t>
            </w:r>
          </w:p>
        </w:tc>
        <w:tc>
          <w:tcPr/>
          <w:p>
            <w:pPr>
              <w:pStyle w:val="Compact"/>
              <w:jc w:val="left"/>
            </w:pPr>
            <w:r>
              <w:t xml:space="preserve">144,000</w:t>
            </w:r>
          </w:p>
        </w:tc>
        <w:tc>
          <w:tcPr/>
          <w:p>
            <w:pPr>
              <w:pStyle w:val="Compact"/>
              <w:jc w:val="left"/>
            </w:pPr>
            <w:r>
              <w:t xml:space="preserve">3,000</w:t>
            </w:r>
          </w:p>
        </w:tc>
      </w:tr>
      <w:tr>
        <w:tc>
          <w:tcPr/>
          <w:p>
            <w:pPr>
              <w:pStyle w:val="Compact"/>
              <w:jc w:val="left"/>
            </w:pPr>
            <w:r>
              <w:t xml:space="preserve">5</w:t>
            </w:r>
          </w:p>
        </w:tc>
        <w:tc>
          <w:tcPr/>
          <w:p>
            <w:pPr>
              <w:pStyle w:val="Compact"/>
              <w:jc w:val="left"/>
            </w:pPr>
            <w:r>
              <w:t xml:space="preserve">Health &amp; Social Insurance</w:t>
            </w:r>
          </w:p>
        </w:tc>
        <w:tc>
          <w:tcPr/>
          <w:p>
            <w:pPr>
              <w:pStyle w:val="Compact"/>
              <w:jc w:val="left"/>
            </w:pPr>
            <w:r>
              <w:t xml:space="preserve">Employer contribution to the Egyptian Social Insurance Authority (11% of gross) plus supplementary private health coverage for the University Lecturer and immediate family</w:t>
            </w:r>
          </w:p>
        </w:tc>
        <w:tc>
          <w:tcPr/>
          <w:p>
            <w:pPr>
              <w:pStyle w:val="Compact"/>
              <w:jc w:val="left"/>
            </w:pPr>
            <w:r>
              <w:t xml:space="preserve">96,000</w:t>
            </w:r>
          </w:p>
        </w:tc>
        <w:tc>
          <w:tcPr/>
          <w:p>
            <w:pPr>
              <w:pStyle w:val="Compact"/>
              <w:jc w:val="left"/>
            </w:pPr>
            <w:r>
              <w:t xml:space="preserve">2,000</w:t>
            </w:r>
          </w:p>
        </w:tc>
      </w:tr>
      <w:tr>
        <w:tc>
          <w:tcPr/>
          <w:p>
            <w:pPr>
              <w:pStyle w:val="Compact"/>
              <w:jc w:val="left"/>
            </w:pPr>
            <w:r>
              <w:t xml:space="preserve">6</w:t>
            </w:r>
          </w:p>
        </w:tc>
        <w:tc>
          <w:tcPr/>
          <w:p>
            <w:pPr>
              <w:pStyle w:val="Compact"/>
              <w:jc w:val="left"/>
            </w:pPr>
            <w:r>
              <w:t xml:space="preserve">Onboarding &amp; Relocation Package</w:t>
            </w:r>
          </w:p>
        </w:tc>
        <w:tc>
          <w:tcPr/>
          <w:p>
            <w:pPr>
              <w:pStyle w:val="Compact"/>
              <w:jc w:val="left"/>
            </w:pPr>
            <w:r>
              <w:t xml:space="preserve">One-time payment covering international airfare, visa processing, initial housing deposit, and orientation program in Egypt Cairo</w:t>
            </w:r>
          </w:p>
        </w:tc>
        <w:tc>
          <w:tcPr/>
          <w:p>
            <w:pPr>
              <w:pStyle w:val="Compact"/>
              <w:jc w:val="left"/>
            </w:pPr>
            <w:r>
              <w:t xml:space="preserve">75,000</w:t>
            </w:r>
          </w:p>
        </w:tc>
        <w:tc>
          <w:tcPr/>
          <w:p>
            <w:pPr>
              <w:pStyle w:val="Compact"/>
              <w:jc w:val="left"/>
            </w:pPr>
            <w:r>
              <w:t xml:space="preserve">1,563</w:t>
            </w:r>
          </w:p>
        </w:tc>
      </w:tr>
      <w:tr>
        <w:tc>
          <w:tcPr/>
          <w:p>
            <w:pPr>
              <w:pStyle w:val="Compact"/>
              <w:jc w:val="left"/>
            </w:pPr>
            <w:r>
              <w:t xml:space="preserve">7</w:t>
            </w:r>
          </w:p>
        </w:tc>
        <w:tc>
          <w:tcPr/>
          <w:p>
            <w:pPr>
              <w:pStyle w:val="Compact"/>
              <w:jc w:val="left"/>
            </w:pPr>
            <w:r>
              <w:t xml:space="preserve">Teaching Materials &amp; Technology</w:t>
            </w:r>
          </w:p>
        </w:tc>
        <w:tc>
          <w:tcPr/>
          <w:p>
            <w:pPr>
              <w:pStyle w:val="Compact"/>
              <w:jc w:val="left"/>
            </w:pPr>
            <w:r>
              <w:t xml:space="preserve">Annual budget for software licenses (AutoCAD, SAP2000, MATLAB), laboratory equipment access, and printed course materials for the University Lecturer</w:t>
            </w:r>
          </w:p>
        </w:tc>
        <w:tc>
          <w:tcPr/>
          <w:p>
            <w:pPr>
              <w:pStyle w:val="Compact"/>
              <w:jc w:val="left"/>
            </w:pPr>
            <w:r>
              <w:t xml:space="preserve">48,000</w:t>
            </w:r>
          </w:p>
        </w:tc>
        <w:tc>
          <w:tcPr/>
          <w:p>
            <w:pPr>
              <w:pStyle w:val="Compact"/>
              <w:jc w:val="left"/>
            </w:pPr>
            <w:r>
              <w:t xml:space="preserve">1,000</w:t>
            </w:r>
          </w:p>
        </w:tc>
      </w:tr>
      <w:tr>
        <w:tc>
          <w:tcPr/>
          <w:p>
            <w:pPr>
              <w:pStyle w:val="Compact"/>
              <w:jc w:val="left"/>
            </w:pPr>
            <w:r>
              <w:t xml:space="preserve">8</w:t>
            </w:r>
          </w:p>
        </w:tc>
        <w:tc>
          <w:tcPr/>
          <w:p>
            <w:pPr>
              <w:pStyle w:val="Compact"/>
              <w:jc w:val="left"/>
            </w:pPr>
            <w:r>
              <w:t xml:space="preserve">Professional Development</w:t>
            </w:r>
          </w:p>
        </w:tc>
        <w:tc>
          <w:tcPr/>
          <w:p>
            <w:pPr>
              <w:pStyle w:val="Compact"/>
              <w:jc w:val="left"/>
            </w:pPr>
            <w:r>
              <w:t xml:space="preserve">Funding for two (2) international academic conferences per year and one (1) short-term sabbatical research visit, as standard for a University Lecturer in Egypt Cairo</w:t>
            </w:r>
          </w:p>
        </w:tc>
        <w:tc>
          <w:tcPr/>
          <w:p>
            <w:pPr>
              <w:pStyle w:val="Compact"/>
              <w:jc w:val="left"/>
            </w:pPr>
            <w:r>
              <w:t xml:space="preserve">60,000</w:t>
            </w:r>
          </w:p>
        </w:tc>
        <w:tc>
          <w:tcPr/>
          <w:p>
            <w:pPr>
              <w:pStyle w:val="Compact"/>
              <w:jc w:val="left"/>
            </w:pPr>
            <w:r>
              <w:t xml:space="preserve">1,250</w:t>
            </w:r>
          </w:p>
        </w:tc>
      </w:tr>
      <w:tr>
        <w:tc>
          <w:tcPr/>
          <w:p>
            <w:pPr>
              <w:pStyle w:val="Compact"/>
              <w:jc w:val="left"/>
            </w:pPr>
            <w:r>
              <w:t xml:space="preserve">9</w:t>
            </w:r>
          </w:p>
        </w:tc>
        <w:tc>
          <w:tcPr/>
          <w:p>
            <w:pPr>
              <w:pStyle w:val="Compact"/>
              <w:jc w:val="left"/>
            </w:pPr>
            <w:r>
              <w:t xml:space="preserve">Administrative &amp; Recruitment Fees</w:t>
            </w:r>
          </w:p>
        </w:tc>
        <w:tc>
          <w:tcPr/>
          <w:p>
            <w:pPr>
              <w:pStyle w:val="Compact"/>
              <w:jc w:val="left"/>
            </w:pPr>
            <w:r>
              <w:t xml:space="preserve">Costs for background verification, credential evaluation, legal contract drafting, and HR processing within the Egypt Cairo university administration</w:t>
            </w:r>
          </w:p>
        </w:tc>
        <w:tc>
          <w:tcPr/>
          <w:p>
            <w:pPr>
              <w:pStyle w:val="Compact"/>
              <w:jc w:val="left"/>
            </w:pPr>
            <w:r>
              <w:t xml:space="preserve">22,000</w:t>
            </w:r>
          </w:p>
        </w:tc>
        <w:tc>
          <w:tcPr/>
          <w:p>
            <w:pPr>
              <w:pStyle w:val="Compact"/>
              <w:jc w:val="left"/>
            </w:pPr>
            <w:r>
              <w:t xml:space="preserve">458</w:t>
            </w:r>
          </w:p>
        </w:tc>
      </w:tr>
      <w:tr>
        <w:tc>
          <w:tcPr>
            <w:gridSpan w:val="3"/>
          </w:tcPr>
          <w:p>
            <w:pPr>
              <w:pStyle w:val="Compact"/>
              <w:jc w:val="left"/>
            </w:pPr>
            <w:r>
              <w:t xml:space="preserve">TOTAL ANNUAL ESTIMATED COST</w:t>
            </w:r>
          </w:p>
        </w:tc>
        <w:tc>
          <w:tcPr/>
          <w:p>
            <w:pPr>
              <w:pStyle w:val="Compact"/>
              <w:jc w:val="left"/>
            </w:pPr>
            <w:r>
              <w:t xml:space="preserve">1,186,000</w:t>
            </w:r>
          </w:p>
        </w:tc>
        <w:tc>
          <w:tcPr/>
          <w:p>
            <w:pPr>
              <w:pStyle w:val="Compact"/>
              <w:jc w:val="left"/>
            </w:pPr>
            <w:r>
              <w:t xml:space="preserve">24,709</w:t>
            </w:r>
          </w:p>
        </w:tc>
      </w:tr>
    </w:tbl>
    <w:bookmarkEnd w:id="23"/>
    <w:bookmarkStart w:id="24" w:name="payment-schedule"/>
    <w:p>
      <w:pPr>
        <w:pStyle w:val="Heading2"/>
      </w:pPr>
      <w:r>
        <w:t xml:space="preserve">4. Payment Schedule</w:t>
      </w:r>
    </w:p>
    <w:p>
      <w:pPr>
        <w:pStyle w:val="FirstParagraph"/>
      </w:pPr>
      <w:r>
        <w:t xml:space="preserve">The total amount specified in this Quotation Estimate shall be disbursed according to the following schedule, aligned with the Egyptian academic calendar in Egypt Cairo:</w:t>
      </w:r>
    </w:p>
    <w:p>
      <w:pPr>
        <w:numPr>
          <w:ilvl w:val="0"/>
          <w:numId w:val="1001"/>
        </w:numPr>
        <w:pStyle w:val="Compact"/>
      </w:pPr>
      <w:r>
        <w:rPr>
          <w:bCs/>
          <w:b/>
        </w:rPr>
        <w:t xml:space="preserve">Tranche 1 (Upon Contract Signing):</w:t>
      </w:r>
      <w:r>
        <w:t xml:space="preserve"> </w:t>
      </w:r>
      <w:r>
        <w:t xml:space="preserve">Onboarding and Relocation Package (Item 6) — EGP 75,000</w:t>
      </w:r>
    </w:p>
    <w:p>
      <w:pPr>
        <w:numPr>
          <w:ilvl w:val="0"/>
          <w:numId w:val="1001"/>
        </w:numPr>
        <w:pStyle w:val="Compact"/>
      </w:pPr>
      <w:r>
        <w:rPr>
          <w:bCs/>
          <w:b/>
        </w:rPr>
        <w:t xml:space="preserve">Tranche 2 (Monthly, 12 Installments):</w:t>
      </w:r>
      <w:r>
        <w:t xml:space="preserve"> </w:t>
      </w:r>
      <w:r>
        <w:t xml:space="preserve">Base Salary, Academic Allowance, and Housing Subsidy (Items 1, 2, 4) — EGP 76,500 per month</w:t>
      </w:r>
    </w:p>
    <w:p>
      <w:pPr>
        <w:numPr>
          <w:ilvl w:val="0"/>
          <w:numId w:val="1001"/>
        </w:numPr>
        <w:pStyle w:val="Compact"/>
      </w:pPr>
      <w:r>
        <w:rPr>
          <w:bCs/>
          <w:b/>
        </w:rPr>
        <w:t xml:space="preserve">Tranche 3 (Quarterly):</w:t>
      </w:r>
      <w:r>
        <w:t xml:space="preserve"> </w:t>
      </w:r>
      <w:r>
        <w:t xml:space="preserve">Research Grant, Teaching Materials, and Professional Development (Items 3, 7, 8) — EGP 60,000 per quarter</w:t>
      </w:r>
    </w:p>
    <w:p>
      <w:pPr>
        <w:numPr>
          <w:ilvl w:val="0"/>
          <w:numId w:val="1001"/>
        </w:numPr>
        <w:pStyle w:val="Compact"/>
      </w:pPr>
      <w:r>
        <w:rPr>
          <w:bCs/>
          <w:b/>
        </w:rPr>
        <w:t xml:space="preserve">Tranche 4 (Monthly, Employer Contribution):</w:t>
      </w:r>
      <w:r>
        <w:t xml:space="preserve"> </w:t>
      </w:r>
      <w:r>
        <w:t xml:space="preserve">Health and Social Insurance (Item 5) — EGP 8,000 per month</w:t>
      </w:r>
    </w:p>
    <w:p>
      <w:pPr>
        <w:numPr>
          <w:ilvl w:val="0"/>
          <w:numId w:val="1001"/>
        </w:numPr>
        <w:pStyle w:val="Compact"/>
      </w:pPr>
      <w:r>
        <w:rPr>
          <w:bCs/>
          <w:b/>
        </w:rPr>
        <w:t xml:space="preserve">Tranche 5 (One-Time, Pre-Start):</w:t>
      </w:r>
      <w:r>
        <w:t xml:space="preserve"> </w:t>
      </w:r>
      <w:r>
        <w:t xml:space="preserve">Administrative and Recruitment Fees (Item 9) — EGP 22,000</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sixty (60) days from the date of issue. Any engagement of the University Lecturer beyond this validity window shall require a revised Quotation Estimate reflecting updated Egypt Cairo market rates and currency fluctuations.</w:t>
      </w:r>
    </w:p>
    <w:p>
      <w:pPr>
        <w:numPr>
          <w:ilvl w:val="0"/>
          <w:numId w:val="1002"/>
        </w:numPr>
        <w:pStyle w:val="Compact"/>
      </w:pPr>
      <w:r>
        <w:t xml:space="preserve">All monetary values are quoted in Egyptian Pounds (EGP) at the Central Bank of Egypt reference rate. The USD equivalents are provided for informational purposes only and are subject to daily exchange rate variation.</w:t>
      </w:r>
    </w:p>
    <w:p>
      <w:pPr>
        <w:numPr>
          <w:ilvl w:val="0"/>
          <w:numId w:val="1002"/>
        </w:numPr>
        <w:pStyle w:val="Compact"/>
      </w:pPr>
      <w:r>
        <w:t xml:space="preserve">The University Lecturer shall be bound by a standard three (3) year employment contract renewable upon mutual agreement, in compliance with Egyptian Labor Law No. 12 of 2003 and the Higher Education Law No. 1 of 2010 as amended.</w:t>
      </w:r>
    </w:p>
    <w:p>
      <w:pPr>
        <w:numPr>
          <w:ilvl w:val="0"/>
          <w:numId w:val="1002"/>
        </w:numPr>
        <w:pStyle w:val="Compact"/>
      </w:pPr>
      <w:r>
        <w:t xml:space="preserve">Any additional teaching load exceeding 18 credit hours per semester, or any request for a sabbatical year, shall be subject to a supplementary Quotation Estimate issued by the Academic Procurement Office in Egypt Cairo.</w:t>
      </w:r>
    </w:p>
    <w:p>
      <w:pPr>
        <w:numPr>
          <w:ilvl w:val="0"/>
          <w:numId w:val="1002"/>
        </w:numPr>
        <w:pStyle w:val="Compact"/>
      </w:pPr>
      <w:r>
        <w:t xml:space="preserve">The University reserves the right to adjust the housing subsidy and cost-of-living components of this Quotation Estimate should the Egyptian government issue revised minimum wage or academic salary directives during the contract term.</w:t>
      </w:r>
    </w:p>
    <w:p>
      <w:pPr>
        <w:numPr>
          <w:ilvl w:val="0"/>
          <w:numId w:val="1002"/>
        </w:numPr>
        <w:pStyle w:val="Compact"/>
      </w:pPr>
      <w:r>
        <w:t xml:space="preserve">All intellectual property, research outputs, and course materials developed by the University Lecturer during the term of engagement shall remain the property of Cairo University, Egypt Cairo, in accordance with institutional policy.</w:t>
      </w:r>
    </w:p>
    <w:p>
      <w:pPr>
        <w:numPr>
          <w:ilvl w:val="0"/>
          <w:numId w:val="1002"/>
        </w:numPr>
        <w:pStyle w:val="Compact"/>
      </w:pPr>
      <w:r>
        <w:t xml:space="preserve">This Quotation Estimate does not constitute a binding employment offer. Final terms are subject to successful completion of the university's internal hiring committee review, background checks, and approval by the Board of Trustees.</w:t>
      </w:r>
    </w:p>
    <w:bookmarkEnd w:id="25"/>
    <w:bookmarkStart w:id="26" w:name="acceptance-and-authorization"/>
    <w:p>
      <w:pPr>
        <w:pStyle w:val="Heading2"/>
      </w:pPr>
      <w:r>
        <w:t xml:space="preserve">6. Acceptance and Authorization</w:t>
      </w:r>
    </w:p>
    <w:p>
      <w:pPr>
        <w:pStyle w:val="FirstParagraph"/>
      </w:pPr>
      <w:r>
        <w:t xml:space="preserve">By signing below, the authorized representatives acknowledge that this Quotation Estimate for the University Lecturer position in Egypt Cairo has been reviewed, understood, and accepted in its entirety. Both parties agree that this document serves as the financial foundation for the subsequent formal employment contract.</w:t>
      </w:r>
    </w:p>
    <w:p>
      <w:pPr>
        <w:pStyle w:val="BodyText"/>
      </w:pPr>
      <w:r>
        <w:rPr>
          <w:bCs/>
          <w:b/>
        </w:rPr>
        <w:t xml:space="preserve">Prepared and Issued By:</w:t>
      </w:r>
    </w:p>
    <w:p>
      <w:pPr>
        <w:pStyle w:val="BodyText"/>
      </w:pPr>
      <w:r>
        <w:t xml:space="preserve">Dr. Amira Hassan</w:t>
      </w:r>
    </w:p>
    <w:p>
      <w:pPr>
        <w:pStyle w:val="BodyText"/>
      </w:pPr>
      <w:r>
        <w:t xml:space="preserve">Head of Academic Procurement</w:t>
      </w:r>
    </w:p>
    <w:p>
      <w:pPr>
        <w:pStyle w:val="BodyText"/>
      </w:pPr>
      <w:r>
        <w:t xml:space="preserve">Cairo University, Egypt Cairo</w:t>
      </w:r>
    </w:p>
    <w:p>
      <w:pPr>
        <w:pStyle w:val="BodyText"/>
      </w:pPr>
      <w:r>
        <w:t xml:space="preserve">Signature &amp; Date</w:t>
      </w:r>
    </w:p>
    <w:p>
      <w:pPr>
        <w:pStyle w:val="BodyText"/>
      </w:pPr>
      <w:r>
        <w:rPr>
          <w:bCs/>
          <w:b/>
        </w:rPr>
        <w:t xml:space="preserve">Reviewed and Approved By:</w:t>
      </w:r>
    </w:p>
    <w:p>
      <w:pPr>
        <w:pStyle w:val="BodyText"/>
      </w:pPr>
      <w:r>
        <w:t xml:space="preserve">Dr. Mahmoud El-Sayed</w:t>
      </w:r>
    </w:p>
    <w:p>
      <w:pPr>
        <w:pStyle w:val="BodyText"/>
      </w:pPr>
      <w:r>
        <w:t xml:space="preserve">Dean, Faculty of Engineering</w:t>
      </w:r>
    </w:p>
    <w:p>
      <w:pPr>
        <w:pStyle w:val="BodyText"/>
      </w:pPr>
      <w:r>
        <w:t xml:space="preserve">Cairo University, Egypt Cairo</w:t>
      </w:r>
    </w:p>
    <w:p>
      <w:pPr>
        <w:pStyle w:val="BodyText"/>
      </w:pPr>
      <w:r>
        <w:t xml:space="preserve">Signature &amp; Date</w:t>
      </w:r>
    </w:p>
    <w:p>
      <w:pPr>
        <w:pStyle w:val="BodyText"/>
      </w:pPr>
      <w:r>
        <w:t xml:space="preserve">This Quotation Estimate (Ref: QE-EGY-CAI-2025-0472) was prepared exclusively for the engagement of a University Lecturer at Cairo University, Egypt Cairo. Unauthorized reproduction or distribution of this document is prohibited. For inquiries, contact the Academic Procurement Office at procurement.eng@cu.edu.eg or visit Room 214, Engineering Building, Giza Road, Dokki, Egypt Cairo.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Egypt Cairo</dc:title>
  <dc:creator/>
  <dc:language>en</dc:language>
  <cp:keywords/>
  <dcterms:created xsi:type="dcterms:W3CDTF">2026-10-10T04:33:19Z</dcterms:created>
  <dcterms:modified xsi:type="dcterms:W3CDTF">2026-10-10T04:33:19Z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