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France</w:t>
      </w:r>
      <w:r>
        <w:t xml:space="preserve"> </w:t>
      </w:r>
      <w:r>
        <w:t xml:space="preserve">Paris</w:t>
      </w:r>
    </w:p>
    <w:bookmarkStart w:id="20" w:name="X5abb6577b835ed10ba3c9ad6999c50d9b249634"/>
    <w:p>
      <w:pPr>
        <w:pStyle w:val="Heading1"/>
      </w:pPr>
      <w:r>
        <w:t xml:space="preserve">Université de Paris – Faculté des Sciences Humaines</w:t>
      </w:r>
    </w:p>
    <w:p>
      <w:pPr>
        <w:pStyle w:val="FirstParagraph"/>
      </w:pPr>
      <w:r>
        <w:t xml:space="preserve">12 Rue de la Sorbonne, 75005 Paris, France</w:t>
      </w:r>
    </w:p>
    <w:p>
      <w:pPr>
        <w:pStyle w:val="BodyText"/>
      </w:pPr>
      <w:r>
        <w:t xml:space="preserve">Tel: +33 1 44 27 62 00 | Email: recrutement@univ-paris.fr</w:t>
      </w:r>
    </w:p>
    <w:p>
      <w:pPr>
        <w:pStyle w:val="BodyText"/>
      </w:pPr>
      <w:r>
        <w:t xml:space="preserve">SIRET: 197 500 010 00012 | TVA: FR 76 197 500 010</w:t>
      </w:r>
    </w:p>
    <w:bookmarkEnd w:id="20"/>
    <w:bookmarkStart w:id="27" w:name="quotation-estimate"/>
    <w:p>
      <w:pPr>
        <w:pStyle w:val="Heading2"/>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QTE-2025-UL-0847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w:t>
            </w:r>
          </w:p>
        </w:tc>
      </w:tr>
      <w:tr>
        <w:tc>
          <w:tcPr/>
          <w:p>
            <w:pPr>
              <w:pStyle w:val="Compact"/>
              <w:jc w:val="left"/>
            </w:pPr>
            <w:r>
              <w:t xml:space="preserve">Prepared For:</w:t>
            </w:r>
          </w:p>
        </w:tc>
        <w:tc>
          <w:tcPr/>
          <w:p>
            <w:pPr>
              <w:pStyle w:val="Compact"/>
              <w:jc w:val="left"/>
            </w:pPr>
            <w:r>
              <w:t xml:space="preserve">Dr. Émile Laurent, Head of Department, Department of Comparative Literature</w:t>
            </w:r>
          </w:p>
        </w:tc>
      </w:tr>
      <w:tr>
        <w:tc>
          <w:tcPr/>
          <w:p>
            <w:pPr>
              <w:pStyle w:val="Compact"/>
              <w:jc w:val="left"/>
            </w:pPr>
            <w:r>
              <w:t xml:space="preserve">Prepared By:</w:t>
            </w:r>
          </w:p>
        </w:tc>
        <w:tc>
          <w:tcPr/>
          <w:p>
            <w:pPr>
              <w:pStyle w:val="Compact"/>
              <w:jc w:val="left"/>
            </w:pPr>
            <w:r>
              <w:t xml:space="preserve">Service des Ressources Humaines, Université de Paris</w:t>
            </w:r>
          </w:p>
        </w:tc>
      </w:tr>
      <w:tr>
        <w:tc>
          <w:tcPr/>
          <w:p>
            <w:pPr>
              <w:pStyle w:val="Compact"/>
              <w:jc w:val="left"/>
            </w:pPr>
            <w:r>
              <w:t xml:space="preserve">Position Title:</w:t>
            </w:r>
          </w:p>
        </w:tc>
        <w:tc>
          <w:tcPr/>
          <w:p>
            <w:pPr>
              <w:pStyle w:val="Compact"/>
              <w:jc w:val="left"/>
            </w:pPr>
            <w:r>
              <w:t xml:space="preserve">University Lecturer (Maître de Conférences – Grade A)</w:t>
            </w:r>
          </w:p>
        </w:tc>
      </w:tr>
      <w:tr>
        <w:tc>
          <w:tcPr/>
          <w:p>
            <w:pPr>
              <w:pStyle w:val="Compact"/>
              <w:jc w:val="left"/>
            </w:pPr>
            <w:r>
              <w:t xml:space="preserve">Location:</w:t>
            </w:r>
          </w:p>
        </w:tc>
        <w:tc>
          <w:tcPr/>
          <w:p>
            <w:pPr>
              <w:pStyle w:val="Compact"/>
              <w:jc w:val="left"/>
            </w:pPr>
            <w:r>
              <w:t xml:space="preserve">France Paris – Campus Sorbonne, 75005 Paris</w:t>
            </w:r>
          </w:p>
        </w:tc>
      </w:tr>
      <w:tr>
        <w:tc>
          <w:tcPr/>
          <w:p>
            <w:pPr>
              <w:pStyle w:val="Compact"/>
              <w:jc w:val="left"/>
            </w:pPr>
            <w:r>
              <w:t xml:space="preserve">Contract Duration:</w:t>
            </w:r>
          </w:p>
        </w:tc>
        <w:tc>
          <w:tcPr/>
          <w:p>
            <w:pPr>
              <w:pStyle w:val="Compact"/>
              <w:jc w:val="left"/>
            </w:pPr>
            <w:r>
              <w:t xml:space="preserve">Academic Year 2025–2026 (September 2025 to July 2026)</w:t>
            </w:r>
          </w:p>
        </w:tc>
      </w:tr>
    </w:tbl>
    <w:bookmarkStart w:id="21" w:name="purpose-of-this-quotation-estimate"/>
    <w:p>
      <w:pPr>
        <w:pStyle w:val="Heading3"/>
      </w:pPr>
      <w:r>
        <w:t xml:space="preserve">1. Purpose of This Quotation Estimate</w:t>
      </w:r>
    </w:p>
    <w:p>
      <w:pPr>
        <w:pStyle w:val="FirstParagraph"/>
      </w:pPr>
      <w:r>
        <w:t xml:space="preserve">This Quotation Estimate is issued by the Université de Paris to formally outline the complete financial and operational terms associated with the recruitment and engagement of a</w:t>
      </w:r>
      <w:r>
        <w:t xml:space="preserve"> </w:t>
      </w:r>
      <w:r>
        <w:t xml:space="preserve">University Lecturer</w:t>
      </w:r>
      <w:r>
        <w:t xml:space="preserve"> </w:t>
      </w:r>
      <w:r>
        <w:t xml:space="preserve">for the Department of Comparative Literature. This document serves as the official cost projection and contractual framework for the academic year 2025–2026. All figures presented herein are denominated in Euros (EUR) and reflect the current salary scales established by the French Ministry of Higher Education, Research, and Innovation (Ministère de l'Enseignement Supérieur et de la Recherche). The Quotation Estimate is valid for a period of ninety (90) calendar days from the date of issue, after which a revised estimate may be required to account for any regulatory or budgetary changes applicable in France Paris.</w:t>
      </w:r>
    </w:p>
    <w:bookmarkEnd w:id="21"/>
    <w:bookmarkStart w:id="22" w:name="Xeb6c46b5f33ace7d4f62f5ab8b2bbcbfb01f360"/>
    <w:p>
      <w:pPr>
        <w:pStyle w:val="Heading3"/>
      </w:pPr>
      <w:r>
        <w:t xml:space="preserve">2. Scope of Services – University Lecturer Role</w:t>
      </w:r>
    </w:p>
    <w:p>
      <w:pPr>
        <w:pStyle w:val="FirstParagraph"/>
      </w:pPr>
      <w:r>
        <w:t xml:space="preserve">The</w:t>
      </w:r>
      <w:r>
        <w:t xml:space="preserve"> </w:t>
      </w:r>
      <w:r>
        <w:t xml:space="preserve">University Lecturer</w:t>
      </w:r>
      <w:r>
        <w:t xml:space="preserve"> </w:t>
      </w:r>
      <w:r>
        <w:t xml:space="preserve">engaged under this Quotation Estimate shall be responsible for the following duties within the France Paris campus environment:</w:t>
      </w:r>
    </w:p>
    <w:p>
      <w:pPr>
        <w:numPr>
          <w:ilvl w:val="0"/>
          <w:numId w:val="1001"/>
        </w:numPr>
        <w:pStyle w:val="Compact"/>
      </w:pPr>
      <w:r>
        <w:t xml:space="preserve">Delivery of undergraduate and postgraduate courses in Comparative Literature, French and European Literary Studies, and Intercultural Communication (minimum 192 teaching hours per academic year).</w:t>
      </w:r>
    </w:p>
    <w:p>
      <w:pPr>
        <w:numPr>
          <w:ilvl w:val="0"/>
          <w:numId w:val="1001"/>
        </w:numPr>
        <w:pStyle w:val="Compact"/>
      </w:pPr>
      <w:r>
        <w:t xml:space="preserve">Supervision of undergraduate thesis projects (mémoires de licence) and doctoral research candidates (thèses de doctorat) in accordance with the regulations of the Université de Paris.</w:t>
      </w:r>
    </w:p>
    <w:p>
      <w:pPr>
        <w:numPr>
          <w:ilvl w:val="0"/>
          <w:numId w:val="1001"/>
        </w:numPr>
        <w:pStyle w:val="Compact"/>
      </w:pPr>
      <w:r>
        <w:t xml:space="preserve">Active participation in the academic life of the faculty, including attendance at departmental meetings, examination boards, and curriculum review committees.</w:t>
      </w:r>
    </w:p>
    <w:p>
      <w:pPr>
        <w:numPr>
          <w:ilvl w:val="0"/>
          <w:numId w:val="1001"/>
        </w:numPr>
        <w:pStyle w:val="Compact"/>
      </w:pPr>
      <w:r>
        <w:t xml:space="preserve">Contribution to the research output of the department, with an expected minimum of two peer-reviewed publications per academic year.</w:t>
      </w:r>
    </w:p>
    <w:p>
      <w:pPr>
        <w:numPr>
          <w:ilvl w:val="0"/>
          <w:numId w:val="1001"/>
        </w:numPr>
        <w:pStyle w:val="Compact"/>
      </w:pPr>
      <w:r>
        <w:t xml:space="preserve">Representation of the Université de Paris at national and international academic conferences, symposia, and cultural events held in France Paris and abroad.</w:t>
      </w:r>
    </w:p>
    <w:p>
      <w:pPr>
        <w:numPr>
          <w:ilvl w:val="0"/>
          <w:numId w:val="1001"/>
        </w:numPr>
        <w:pStyle w:val="Compact"/>
      </w:pPr>
      <w:r>
        <w:t xml:space="preserve">Mentoring and pedagogical support for junior academic staff and visiting scholars affiliated with the faculty.</w:t>
      </w:r>
    </w:p>
    <w:bookmarkEnd w:id="22"/>
    <w:bookmarkStart w:id="23" w:name="itemized-financial-breakdown"/>
    <w:p>
      <w:pPr>
        <w:pStyle w:val="Heading3"/>
      </w:pPr>
      <w:r>
        <w:t xml:space="preserve">3. Itemized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3.1</w:t>
            </w:r>
          </w:p>
        </w:tc>
        <w:tc>
          <w:tcPr/>
          <w:p>
            <w:pPr>
              <w:pStyle w:val="Compact"/>
              <w:jc w:val="left"/>
            </w:pPr>
            <w:r>
              <w:t xml:space="preserve">Base Annual Salary – Maître de Conférences, Grade A (Index 518)</w:t>
            </w:r>
          </w:p>
        </w:tc>
        <w:tc>
          <w:tcPr/>
          <w:p>
            <w:pPr>
              <w:pStyle w:val="Compact"/>
              <w:jc w:val="left"/>
            </w:pPr>
            <w:r>
              <w:t xml:space="preserve">Year</w:t>
            </w:r>
          </w:p>
        </w:tc>
        <w:tc>
          <w:tcPr/>
          <w:p>
            <w:pPr>
              <w:pStyle w:val="Compact"/>
              <w:jc w:val="left"/>
            </w:pPr>
            <w:r>
              <w:t xml:space="preserve">1</w:t>
            </w:r>
          </w:p>
        </w:tc>
        <w:tc>
          <w:tcPr/>
          <w:p>
            <w:pPr>
              <w:pStyle w:val="Compact"/>
              <w:jc w:val="left"/>
            </w:pPr>
            <w:r>
              <w:t xml:space="preserve">48,720.00</w:t>
            </w:r>
          </w:p>
        </w:tc>
        <w:tc>
          <w:tcPr/>
          <w:p>
            <w:pPr>
              <w:pStyle w:val="Compact"/>
              <w:jc w:val="left"/>
            </w:pPr>
            <w:r>
              <w:t xml:space="preserve">48,720.00</w:t>
            </w:r>
          </w:p>
        </w:tc>
      </w:tr>
      <w:tr>
        <w:tc>
          <w:tcPr/>
          <w:p>
            <w:pPr>
              <w:pStyle w:val="Compact"/>
              <w:jc w:val="left"/>
            </w:pPr>
            <w:r>
              <w:t xml:space="preserve">3.2</w:t>
            </w:r>
          </w:p>
        </w:tc>
        <w:tc>
          <w:tcPr/>
          <w:p>
            <w:pPr>
              <w:pStyle w:val="Compact"/>
              <w:jc w:val="left"/>
            </w:pPr>
            <w:r>
              <w:t xml:space="preserve">Paris Regional Allowance (Indemnité de résidence – Zone 3)</w:t>
            </w:r>
          </w:p>
        </w:tc>
        <w:tc>
          <w:tcPr/>
          <w:p>
            <w:pPr>
              <w:pStyle w:val="Compact"/>
              <w:jc w:val="left"/>
            </w:pPr>
            <w:r>
              <w:t xml:space="preserve">Year</w:t>
            </w:r>
          </w:p>
        </w:tc>
        <w:tc>
          <w:tcPr/>
          <w:p>
            <w:pPr>
              <w:pStyle w:val="Compact"/>
              <w:jc w:val="left"/>
            </w:pPr>
            <w:r>
              <w:t xml:space="preserve">1</w:t>
            </w:r>
          </w:p>
        </w:tc>
        <w:tc>
          <w:tcPr/>
          <w:p>
            <w:pPr>
              <w:pStyle w:val="Compact"/>
              <w:jc w:val="left"/>
            </w:pPr>
            <w:r>
              <w:t xml:space="preserve">1,461.60</w:t>
            </w:r>
          </w:p>
        </w:tc>
        <w:tc>
          <w:tcPr/>
          <w:p>
            <w:pPr>
              <w:pStyle w:val="Compact"/>
              <w:jc w:val="left"/>
            </w:pPr>
            <w:r>
              <w:t xml:space="preserve">1,461.60</w:t>
            </w:r>
          </w:p>
        </w:tc>
      </w:tr>
      <w:tr>
        <w:tc>
          <w:tcPr/>
          <w:p>
            <w:pPr>
              <w:pStyle w:val="Compact"/>
              <w:jc w:val="left"/>
            </w:pPr>
            <w:r>
              <w:t xml:space="preserve">3.3</w:t>
            </w:r>
          </w:p>
        </w:tc>
        <w:tc>
          <w:tcPr/>
          <w:p>
            <w:pPr>
              <w:pStyle w:val="Compact"/>
              <w:jc w:val="left"/>
            </w:pPr>
            <w:r>
              <w:t xml:space="preserve">Research and Publication Grant (Annual allocation)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3.4</w:t>
            </w:r>
          </w:p>
        </w:tc>
        <w:tc>
          <w:tcPr/>
          <w:p>
            <w:pPr>
              <w:pStyle w:val="Compact"/>
              <w:jc w:val="left"/>
            </w:pPr>
            <w:r>
              <w:t xml:space="preserve">Teaching Materials and Laboratory Access Fee</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3.5</w:t>
            </w:r>
          </w:p>
        </w:tc>
        <w:tc>
          <w:tcPr/>
          <w:p>
            <w:pPr>
              <w:pStyle w:val="Compact"/>
              <w:jc w:val="left"/>
            </w:pPr>
            <w:r>
              <w:t xml:space="preserve">Professional Development and Conference Travel Budget</w:t>
            </w:r>
          </w:p>
        </w:tc>
        <w:tc>
          <w:tcPr/>
          <w:p>
            <w:pPr>
              <w:pStyle w:val="Compact"/>
              <w:jc w:val="left"/>
            </w:pPr>
            <w:r>
              <w:t xml:space="preserve">Year</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3.6</w:t>
            </w:r>
          </w:p>
        </w:tc>
        <w:tc>
          <w:tcPr/>
          <w:p>
            <w:pPr>
              <w:pStyle w:val="Compact"/>
              <w:jc w:val="left"/>
            </w:pPr>
            <w:r>
              <w:t xml:space="preserve">Onboarding, Administrative Processing, and Visa Support (if applicable)</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3.7</w:t>
            </w:r>
          </w:p>
        </w:tc>
        <w:tc>
          <w:tcPr/>
          <w:p>
            <w:pPr>
              <w:pStyle w:val="Compact"/>
              <w:jc w:val="left"/>
            </w:pPr>
            <w:r>
              <w:t xml:space="preserve">Health Insurance and Social Security Contributions (Employer Share – CNAMTS)</w:t>
            </w:r>
          </w:p>
        </w:tc>
        <w:tc>
          <w:tcPr/>
          <w:p>
            <w:pPr>
              <w:pStyle w:val="Compact"/>
              <w:jc w:val="left"/>
            </w:pPr>
            <w:r>
              <w:t xml:space="preserve">Year</w:t>
            </w:r>
          </w:p>
        </w:tc>
        <w:tc>
          <w:tcPr/>
          <w:p>
            <w:pPr>
              <w:pStyle w:val="Compact"/>
              <w:jc w:val="left"/>
            </w:pPr>
            <w:r>
              <w:t xml:space="preserve">1</w:t>
            </w:r>
          </w:p>
        </w:tc>
        <w:tc>
          <w:tcPr/>
          <w:p>
            <w:pPr>
              <w:pStyle w:val="Compact"/>
              <w:jc w:val="left"/>
            </w:pPr>
            <w:r>
              <w:t xml:space="preserve">8,949.60</w:t>
            </w:r>
          </w:p>
        </w:tc>
        <w:tc>
          <w:tcPr/>
          <w:p>
            <w:pPr>
              <w:pStyle w:val="Compact"/>
              <w:jc w:val="left"/>
            </w:pPr>
            <w:r>
              <w:t xml:space="preserve">8,949.60</w:t>
            </w:r>
          </w:p>
        </w:tc>
      </w:tr>
      <w:tr>
        <w:tc>
          <w:tcPr/>
          <w:p>
            <w:pPr>
              <w:pStyle w:val="Compact"/>
              <w:jc w:val="left"/>
            </w:pPr>
            <w:r>
              <w:t xml:space="preserve">3.8</w:t>
            </w:r>
          </w:p>
        </w:tc>
        <w:tc>
          <w:tcPr/>
          <w:p>
            <w:pPr>
              <w:pStyle w:val="Compact"/>
              <w:jc w:val="left"/>
            </w:pPr>
            <w:r>
              <w:t xml:space="preserve">Pension Fund Contribution (CNAV – Civil Servant Retirement)</w:t>
            </w:r>
          </w:p>
        </w:tc>
        <w:tc>
          <w:tcPr/>
          <w:p>
            <w:pPr>
              <w:pStyle w:val="Compact"/>
              <w:jc w:val="left"/>
            </w:pPr>
            <w:r>
              <w:t xml:space="preserve">Year</w:t>
            </w:r>
          </w:p>
        </w:tc>
        <w:tc>
          <w:tcPr/>
          <w:p>
            <w:pPr>
              <w:pStyle w:val="Compact"/>
              <w:jc w:val="left"/>
            </w:pPr>
            <w:r>
              <w:t xml:space="preserve">1</w:t>
            </w:r>
          </w:p>
        </w:tc>
        <w:tc>
          <w:tcPr/>
          <w:p>
            <w:pPr>
              <w:pStyle w:val="Compact"/>
              <w:jc w:val="left"/>
            </w:pPr>
            <w:r>
              <w:t xml:space="preserve">5,359.20</w:t>
            </w:r>
          </w:p>
        </w:tc>
        <w:tc>
          <w:tcPr/>
          <w:p>
            <w:pPr>
              <w:pStyle w:val="Compact"/>
              <w:jc w:val="left"/>
            </w:pPr>
            <w:r>
              <w:t xml:space="preserve">5,359.20</w:t>
            </w:r>
          </w:p>
        </w:tc>
      </w:tr>
      <w:tr>
        <w:tc>
          <w:tcPr/>
          <w:p>
            <w:pPr>
              <w:pStyle w:val="Compact"/>
              <w:jc w:val="left"/>
            </w:pPr>
            <w:r>
              <w:t xml:space="preserve">3.9</w:t>
            </w:r>
          </w:p>
        </w:tc>
        <w:tc>
          <w:tcPr/>
          <w:p>
            <w:pPr>
              <w:pStyle w:val="Compact"/>
              <w:jc w:val="left"/>
            </w:pPr>
            <w:r>
              <w:t xml:space="preserve">Office Space, IT Equipment, and Library Access (Annual Allocation)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3.10</w:t>
            </w:r>
          </w:p>
        </w:tc>
        <w:tc>
          <w:tcPr/>
          <w:p>
            <w:pPr>
              <w:pStyle w:val="Compact"/>
              <w:jc w:val="left"/>
            </w:pPr>
            <w:r>
              <w:t xml:space="preserve">Contingency and Miscellaneous Academic Expenses (5% of subtotal)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3,559.56</w:t>
            </w:r>
          </w:p>
        </w:tc>
        <w:tc>
          <w:tcPr/>
          <w:p>
            <w:pPr>
              <w:pStyle w:val="Compact"/>
              <w:jc w:val="left"/>
            </w:pPr>
            <w:r>
              <w:t xml:space="preserve">3,559.56</w:t>
            </w:r>
          </w:p>
        </w:tc>
      </w:tr>
      <w:tr>
        <w:tc>
          <w:tcPr>
            <w:gridSpan w:val="5"/>
          </w:tcPr>
          <w:p>
            <w:pPr>
              <w:pStyle w:val="Compact"/>
              <w:jc w:val="left"/>
            </w:pPr>
            <w:r>
              <w:t xml:space="preserve">TOTAL ESTIMATED ANNUAL COST (EUR)</w:t>
            </w:r>
          </w:p>
        </w:tc>
        <w:tc>
          <w:tcPr/>
          <w:p>
            <w:pPr>
              <w:pStyle w:val="Compact"/>
              <w:jc w:val="left"/>
            </w:pPr>
            <w:r>
              <w:t xml:space="preserve">79,150.56</w:t>
            </w:r>
          </w:p>
        </w:tc>
      </w:tr>
    </w:tbl>
    <w:bookmarkEnd w:id="23"/>
    <w:bookmarkStart w:id="24" w:name="payment-terms-and-schedule"/>
    <w:p>
      <w:pPr>
        <w:pStyle w:val="Heading3"/>
      </w:pPr>
      <w:r>
        <w:t xml:space="preserve">4. Payment Terms and Schedule</w:t>
      </w:r>
    </w:p>
    <w:p>
      <w:pPr>
        <w:pStyle w:val="FirstParagraph"/>
      </w:pPr>
      <w:r>
        <w:t xml:space="preserve">The total amount specified in this Quotation Estimate shall be disbursed in accordance with the standard French public-sector payroll cycle. The base salary and regional allowance (Items 3.1 and 3.2) shall be paid monthly in arrears via direct bank transfer (virement) on the last working day of each month. The research grant, teaching materials fee, and professional development budget (Items 3.3, 3.4, and 3.5) shall be released in two equal installments: the first upon the commencement of the academic year in September 2025, and the second in February 2026. The onboarding and administrative processing fee (Item 3.6) shall be settled as a one-time payment within fifteen (15) business days of the University Lecturer's official start date. All employer social contributions (Items 3.7 and 3.8) shall be remitted to the relevant French authorities (URSSAF, CNAV) on a monthly basis in compliance with French labor and social security legislation.</w:t>
      </w:r>
    </w:p>
    <w:bookmarkEnd w:id="24"/>
    <w:bookmarkStart w:id="25" w:name="terms-and-conditions"/>
    <w:p>
      <w:pPr>
        <w:pStyle w:val="Heading3"/>
      </w:pPr>
      <w:r>
        <w:t xml:space="preserve">5. Terms and Conditions</w:t>
      </w:r>
    </w:p>
    <w:p>
      <w:pPr>
        <w:numPr>
          <w:ilvl w:val="0"/>
          <w:numId w:val="1002"/>
        </w:numPr>
        <w:pStyle w:val="Compact"/>
      </w:pPr>
      <w:r>
        <w:t xml:space="preserve">This Quotation Estimate is non-binding until formally accepted in writing by both the Université de Paris and the appointed University Lecturer. Acceptance shall be evidenced by the signing of the official contract of engagement (contrat d'engagement) in accordance with French public service regulations.</w:t>
      </w:r>
    </w:p>
    <w:p>
      <w:pPr>
        <w:numPr>
          <w:ilvl w:val="0"/>
          <w:numId w:val="1002"/>
        </w:numPr>
        <w:pStyle w:val="Compact"/>
      </w:pPr>
      <w:r>
        <w:t xml:space="preserve">All costs are exclusive of Value Added Tax (TVA), as public higher education institutions in France Paris are exempt from VAT under Article 261 of the French General Tax Code (Code Général des Impôts).</w:t>
      </w:r>
    </w:p>
    <w:p>
      <w:pPr>
        <w:numPr>
          <w:ilvl w:val="0"/>
          <w:numId w:val="1002"/>
        </w:numPr>
        <w:pStyle w:val="Compact"/>
      </w:pPr>
      <w:r>
        <w:t xml:space="preserve">The University Lecturer shall be subject to the statutory working hours applicable to French civil servants in higher education (192 hours of teaching per year, supplemented by research and administrative duties).</w:t>
      </w:r>
    </w:p>
    <w:p>
      <w:pPr>
        <w:numPr>
          <w:ilvl w:val="0"/>
          <w:numId w:val="1002"/>
        </w:numPr>
        <w:pStyle w:val="Compact"/>
      </w:pPr>
      <w:r>
        <w:t xml:space="preserve">Any revision of this Quotation Estimate due to changes in French national salary scales, social contribution rates, or institutional budget allocations shall be communicated in writing no later than thirty (30) days prior to the start of the academic year.</w:t>
      </w:r>
    </w:p>
    <w:p>
      <w:pPr>
        <w:numPr>
          <w:ilvl w:val="0"/>
          <w:numId w:val="1002"/>
        </w:numPr>
        <w:pStyle w:val="Compact"/>
      </w:pPr>
      <w:r>
        <w:t xml:space="preserve">This Quotation Estimate does not constitute a guarantee of permanent employment. The engagement is for the specified academic year and may be renewed subject to mutual agreement and available budgetary provisions.</w:t>
      </w:r>
    </w:p>
    <w:p>
      <w:pPr>
        <w:numPr>
          <w:ilvl w:val="0"/>
          <w:numId w:val="1002"/>
        </w:numPr>
        <w:pStyle w:val="Compact"/>
      </w:pPr>
      <w:r>
        <w:t xml:space="preserve">Disputes arising from the interpretation or execution of this Quotation Estimate shall be resolved in accordance with French administrative law and, where applicable, through the competent administrative courts in France Paris.</w:t>
      </w:r>
    </w:p>
    <w:p>
      <w:pPr>
        <w:numPr>
          <w:ilvl w:val="0"/>
          <w:numId w:val="1002"/>
        </w:numPr>
        <w:pStyle w:val="Compact"/>
      </w:pPr>
      <w:r>
        <w:t xml:space="preserve">The University Lecturer is required to maintain professional indemnity insurance and to comply with all data protection regulations, including the GDPR and the French Loi Informatique et Libertés, in the handling of student records and research data.</w:t>
      </w:r>
    </w:p>
    <w:bookmarkEnd w:id="25"/>
    <w:bookmarkStart w:id="26" w:name="acceptance-and-authorization"/>
    <w:p>
      <w:pPr>
        <w:pStyle w:val="Heading3"/>
      </w:pPr>
      <w:r>
        <w:t xml:space="preserve">6. Acceptance and Authorization</w:t>
      </w:r>
    </w:p>
    <w:p>
      <w:pPr>
        <w:pStyle w:val="FirstParagraph"/>
      </w:pPr>
      <w:r>
        <w:t xml:space="preserve">By signing below, the undersigned parties acknowledge that they have read, understood, and agree to the terms set forth in this Quotation Estimate for the engagement of a University Lecturer at the Université de Paris, France Paris, for the academic year 2025–2026.</w:t>
      </w:r>
    </w:p>
    <w:p>
      <w:pPr>
        <w:pStyle w:val="BodyText"/>
      </w:pPr>
      <w:r>
        <w:rPr>
          <w:bCs/>
          <w:b/>
        </w:rPr>
        <w:t xml:space="preserve">For the Université de Paris</w:t>
      </w:r>
    </w:p>
    <w:p>
      <w:pPr>
        <w:pStyle w:val="BodyText"/>
      </w:pPr>
      <w:r>
        <w:t xml:space="preserve">Name: Prof. Dr. Marie-Claire Dubois</w:t>
      </w:r>
    </w:p>
    <w:p>
      <w:pPr>
        <w:pStyle w:val="BodyText"/>
      </w:pPr>
      <w:r>
        <w:t xml:space="preserve">Title: Vice-Rector for Academic Affairs</w:t>
      </w:r>
    </w:p>
    <w:p>
      <w:pPr>
        <w:pStyle w:val="BodyText"/>
      </w:pPr>
      <w:r>
        <w:t xml:space="preserve">Date: ____________________</w:t>
      </w:r>
    </w:p>
    <w:p>
      <w:pPr>
        <w:pStyle w:val="BodyText"/>
      </w:pPr>
      <w:r>
        <w:t xml:space="preserve">Signature &amp; Seal:</w:t>
      </w:r>
    </w:p>
    <w:p>
      <w:pPr>
        <w:pStyle w:val="BodyText"/>
      </w:pPr>
      <w:r>
        <w:rPr>
          <w:bCs/>
          <w:b/>
        </w:rPr>
        <w:t xml:space="preserve">For the University Lecturer (Candidate)</w:t>
      </w:r>
    </w:p>
    <w:p>
      <w:pPr>
        <w:pStyle w:val="BodyText"/>
      </w:pPr>
      <w:r>
        <w:t xml:space="preserve">Name: ____________________</w:t>
      </w:r>
    </w:p>
    <w:p>
      <w:pPr>
        <w:pStyle w:val="BodyText"/>
      </w:pPr>
      <w:r>
        <w:t xml:space="preserve">Title: ____________________</w:t>
      </w:r>
    </w:p>
    <w:p>
      <w:pPr>
        <w:pStyle w:val="BodyText"/>
      </w:pPr>
      <w:r>
        <w:t xml:space="preserve">Date: ____________________</w:t>
      </w:r>
    </w:p>
    <w:p>
      <w:pPr>
        <w:pStyle w:val="BodyText"/>
      </w:pPr>
      <w:r>
        <w:t xml:space="preserve">Signature:</w:t>
      </w:r>
    </w:p>
    <w:p>
      <w:pPr>
        <w:pStyle w:val="BodyText"/>
      </w:pPr>
      <w:r>
        <w:t xml:space="preserve">Quotation Estimate Ref: QTE-2025-UL-0847 | Université de Paris – Service des Ressources Humaines</w:t>
      </w:r>
    </w:p>
    <w:p>
      <w:pPr>
        <w:pStyle w:val="BodyText"/>
      </w:pPr>
      <w:r>
        <w:t xml:space="preserve">This document is generated electronically and is valid without a physical stamp. For authentication, please contact the issuing office at recrutement@univ-paris.fr.</w:t>
      </w:r>
    </w:p>
    <w:p>
      <w:pPr>
        <w:pStyle w:val="BodyText"/>
      </w:pPr>
      <w:r>
        <w:t xml:space="preserve">© 2025 Université de Paris. All rights reserved. Document issued in France Paris.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France Paris</dc:title>
  <dc:creator/>
  <dc:language>en</dc:language>
  <cp:keywords/>
  <dcterms:created xsi:type="dcterms:W3CDTF">2026-10-10T01:57:56Z</dcterms:created>
  <dcterms:modified xsi:type="dcterms:W3CDTF">2026-10-10T01:57:56Z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